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spacing w:before="206" w:line="223" w:lineRule="auto"/>
        <w:ind w:left="2221" w:right="1059" w:hanging="1265"/>
        <w:jc w:val="center"/>
        <w:rPr>
          <w:b/>
          <w:color w:val="0D0D0D"/>
          <w:sz w:val="84"/>
        </w:rPr>
      </w:pPr>
      <w:r>
        <w:rPr>
          <w:rFonts w:hint="eastAsia"/>
          <w:b/>
          <w:color w:val="0D0D0D"/>
          <w:sz w:val="84"/>
        </w:rPr>
        <w:t>会计事务</w:t>
      </w:r>
      <w:r>
        <w:rPr>
          <w:b/>
          <w:color w:val="0D0D0D"/>
          <w:sz w:val="84"/>
        </w:rPr>
        <w:t>专业</w:t>
      </w:r>
    </w:p>
    <w:p>
      <w:pPr>
        <w:spacing w:before="206" w:line="223" w:lineRule="auto"/>
        <w:ind w:left="2221" w:right="1059" w:hanging="1265"/>
        <w:jc w:val="center"/>
        <w:rPr>
          <w:b/>
          <w:sz w:val="84"/>
        </w:rPr>
      </w:pPr>
      <w:r>
        <w:rPr>
          <w:b/>
          <w:color w:val="0D0D0D"/>
          <w:sz w:val="84"/>
        </w:rPr>
        <w:t>人才培养方案</w:t>
      </w:r>
    </w:p>
    <w:p>
      <w:pPr>
        <w:spacing w:before="419"/>
        <w:ind w:left="198" w:right="540"/>
        <w:jc w:val="center"/>
        <w:rPr>
          <w:b/>
          <w:sz w:val="36"/>
        </w:rPr>
      </w:pPr>
      <w:r>
        <w:rPr>
          <w:b/>
          <w:color w:val="0D0D0D"/>
          <w:w w:val="99"/>
          <w:sz w:val="36"/>
        </w:rPr>
        <w:t xml:space="preserve"> </w:t>
      </w: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rPr>
          <w:b/>
          <w:sz w:val="20"/>
        </w:rPr>
      </w:pPr>
    </w:p>
    <w:p>
      <w:pPr>
        <w:pStyle w:val="3"/>
        <w:spacing w:before="3"/>
        <w:rPr>
          <w:b/>
          <w:sz w:val="23"/>
        </w:rPr>
      </w:pPr>
    </w:p>
    <w:p>
      <w:pPr>
        <w:spacing w:before="38"/>
        <w:ind w:left="198" w:right="496"/>
        <w:jc w:val="center"/>
        <w:rPr>
          <w:sz w:val="44"/>
        </w:rPr>
        <w:sectPr>
          <w:type w:val="continuous"/>
          <w:pgSz w:w="11910" w:h="16840"/>
          <w:pgMar w:top="1600" w:right="680" w:bottom="280" w:left="1200" w:header="720" w:footer="720" w:gutter="0"/>
          <w:pgNumType w:start="1"/>
          <w:cols w:space="720" w:num="1"/>
        </w:sectPr>
      </w:pPr>
      <w:r>
        <w:rPr>
          <w:b/>
          <w:color w:val="0D0D0D"/>
          <w:sz w:val="44"/>
        </w:rPr>
        <w:t>20</w:t>
      </w:r>
      <w:r>
        <w:rPr>
          <w:b/>
          <w:color w:val="0D0D0D"/>
          <w:sz w:val="44"/>
          <w:lang w:val="en-US"/>
        </w:rPr>
        <w:t>2</w:t>
      </w:r>
      <w:r>
        <w:rPr>
          <w:rFonts w:hint="eastAsia"/>
          <w:b/>
          <w:color w:val="0D0D0D"/>
          <w:sz w:val="44"/>
          <w:lang w:val="en-US" w:eastAsia="zh-CN"/>
        </w:rPr>
        <w:t>1</w:t>
      </w:r>
      <w:r>
        <w:rPr>
          <w:b/>
          <w:color w:val="0D0D0D"/>
          <w:sz w:val="44"/>
        </w:rPr>
        <w:t>-</w:t>
      </w:r>
      <w:r>
        <w:rPr>
          <w:b/>
          <w:color w:val="0D0D0D"/>
          <w:sz w:val="44"/>
          <w:lang w:val="en-US"/>
        </w:rPr>
        <w:t>8</w:t>
      </w:r>
      <w:r>
        <w:rPr>
          <w:b/>
          <w:color w:val="0D0D0D"/>
          <w:sz w:val="44"/>
        </w:rPr>
        <w:t>-10</w:t>
      </w:r>
    </w:p>
    <w:p>
      <w:pPr>
        <w:spacing w:before="40"/>
        <w:ind w:left="2053"/>
        <w:rPr>
          <w:rFonts w:ascii="PMingLiU" w:eastAsia="PMingLiU"/>
          <w:sz w:val="36"/>
        </w:rPr>
      </w:pPr>
      <w:r>
        <w:rPr>
          <w:rFonts w:hint="eastAsia" w:asciiTheme="minorEastAsia" w:hAnsiTheme="minorEastAsia" w:eastAsiaTheme="minorEastAsia"/>
          <w:color w:val="0D0D0D"/>
          <w:sz w:val="36"/>
        </w:rPr>
        <w:t>会计事务</w:t>
      </w:r>
      <w:r>
        <w:rPr>
          <w:rFonts w:hint="eastAsia" w:ascii="PMingLiU" w:eastAsia="PMingLiU"/>
          <w:color w:val="0D0D0D"/>
          <w:sz w:val="36"/>
        </w:rPr>
        <w:t>专业人才培养方案</w:t>
      </w:r>
    </w:p>
    <w:p>
      <w:pPr>
        <w:pStyle w:val="3"/>
        <w:spacing w:before="177"/>
        <w:ind w:left="216"/>
        <w:rPr>
          <w:rFonts w:ascii="黑体" w:eastAsia="黑体"/>
        </w:rPr>
      </w:pPr>
      <w:bookmarkStart w:id="0" w:name="_bookmark0"/>
      <w:bookmarkEnd w:id="0"/>
      <w:r>
        <w:rPr>
          <w:rFonts w:hint="eastAsia" w:ascii="黑体" w:eastAsia="黑体"/>
          <w:color w:val="0D0D0D"/>
        </w:rPr>
        <w:t>一、专业名称及代码</w:t>
      </w:r>
    </w:p>
    <w:p>
      <w:pPr>
        <w:pStyle w:val="3"/>
        <w:spacing w:before="239" w:line="388" w:lineRule="auto"/>
        <w:ind w:left="816" w:right="5608"/>
        <w:rPr>
          <w:color w:val="0D0D0D"/>
        </w:rPr>
      </w:pPr>
      <w:r>
        <w:rPr>
          <w:color w:val="0D0D0D"/>
        </w:rPr>
        <w:t>专业名称：</w:t>
      </w:r>
      <w:r>
        <w:rPr>
          <w:rFonts w:hint="eastAsia"/>
          <w:color w:val="0D0D0D"/>
        </w:rPr>
        <w:t>会计事务</w:t>
      </w:r>
    </w:p>
    <w:p>
      <w:pPr>
        <w:pStyle w:val="3"/>
        <w:spacing w:before="239" w:line="388" w:lineRule="auto"/>
        <w:ind w:left="816" w:right="5608"/>
      </w:pPr>
      <w:r>
        <w:rPr>
          <w:color w:val="0D0D0D"/>
        </w:rPr>
        <w:t>专业代码：730301</w:t>
      </w:r>
    </w:p>
    <w:p>
      <w:pPr>
        <w:pStyle w:val="3"/>
        <w:spacing w:before="4"/>
        <w:ind w:left="216"/>
        <w:rPr>
          <w:rFonts w:ascii="黑体" w:eastAsia="黑体"/>
        </w:rPr>
      </w:pPr>
      <w:bookmarkStart w:id="1" w:name="_bookmark1"/>
      <w:bookmarkEnd w:id="1"/>
      <w:r>
        <w:rPr>
          <w:rFonts w:hint="eastAsia" w:ascii="黑体" w:eastAsia="黑体"/>
          <w:color w:val="0D0D0D"/>
        </w:rPr>
        <w:t>二、入学要求</w:t>
      </w:r>
    </w:p>
    <w:p>
      <w:pPr>
        <w:pStyle w:val="3"/>
        <w:spacing w:before="239"/>
        <w:ind w:left="816"/>
      </w:pPr>
      <w:r>
        <w:rPr>
          <w:color w:val="0D0D0D"/>
        </w:rPr>
        <w:t>初中毕业生或具有同等学力</w:t>
      </w:r>
    </w:p>
    <w:p>
      <w:pPr>
        <w:pStyle w:val="3"/>
        <w:spacing w:before="240"/>
        <w:ind w:left="216"/>
        <w:rPr>
          <w:rFonts w:ascii="黑体" w:eastAsia="黑体"/>
        </w:rPr>
      </w:pPr>
      <w:bookmarkStart w:id="2" w:name="_bookmark2"/>
      <w:bookmarkEnd w:id="2"/>
      <w:r>
        <w:rPr>
          <w:rFonts w:hint="eastAsia" w:ascii="黑体" w:eastAsia="黑体"/>
          <w:color w:val="0D0D0D"/>
        </w:rPr>
        <w:t>三、修业年限</w:t>
      </w:r>
    </w:p>
    <w:p>
      <w:pPr>
        <w:pStyle w:val="3"/>
        <w:spacing w:before="240" w:line="388" w:lineRule="auto"/>
        <w:ind w:left="216" w:right="588" w:firstLine="599"/>
      </w:pPr>
      <w:r>
        <w:rPr>
          <w:color w:val="0D0D0D"/>
          <w:spacing w:val="-17"/>
        </w:rPr>
        <w:t>我校采用“</w:t>
      </w:r>
      <w:r>
        <w:rPr>
          <w:color w:val="0D0D0D"/>
          <w:spacing w:val="-9"/>
        </w:rPr>
        <w:t>2.5+0.5</w:t>
      </w:r>
      <w:r>
        <w:rPr>
          <w:color w:val="0D0D0D"/>
          <w:spacing w:val="-10"/>
        </w:rPr>
        <w:t>”学制，即两年半在学校学习文化课和专业课， 最后半年在企业进行顶岗实习。</w:t>
      </w:r>
      <w:r>
        <w:rPr>
          <w:rFonts w:hint="eastAsia"/>
          <w:color w:val="0D0D0D"/>
          <w:spacing w:val="-10"/>
        </w:rPr>
        <w:t>实际执行以学校统一政策要求为准。</w:t>
      </w:r>
    </w:p>
    <w:p>
      <w:pPr>
        <w:pStyle w:val="3"/>
        <w:numPr>
          <w:ilvl w:val="0"/>
          <w:numId w:val="1"/>
        </w:numPr>
        <w:spacing w:before="2"/>
        <w:ind w:left="216"/>
        <w:rPr>
          <w:rFonts w:ascii="黑体" w:eastAsia="黑体"/>
          <w:color w:val="0D0D0D"/>
        </w:rPr>
      </w:pPr>
      <w:bookmarkStart w:id="3" w:name="_bookmark3"/>
      <w:bookmarkEnd w:id="3"/>
      <w:r>
        <w:rPr>
          <w:rFonts w:hint="eastAsia" w:ascii="黑体" w:eastAsia="黑体"/>
          <w:color w:val="0D0D0D"/>
        </w:rPr>
        <w:t>职业面向</w:t>
      </w:r>
    </w:p>
    <w:p>
      <w:pPr>
        <w:pStyle w:val="3"/>
        <w:spacing w:before="2"/>
        <w:rPr>
          <w:rFonts w:ascii="黑体" w:eastAsia="黑体"/>
          <w:color w:val="0D0D0D"/>
        </w:rPr>
      </w:pPr>
    </w:p>
    <w:tbl>
      <w:tblPr>
        <w:tblStyle w:val="7"/>
        <w:tblpPr w:leftFromText="180" w:rightFromText="180" w:vertAnchor="text" w:horzAnchor="margin" w:tblpXSpec="center" w:tblpY="-52"/>
        <w:tblOverlap w:val="never"/>
        <w:tblW w:w="67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6"/>
        <w:gridCol w:w="1214"/>
        <w:gridCol w:w="1227"/>
        <w:gridCol w:w="1037"/>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0" w:hRule="exact"/>
        </w:trPr>
        <w:tc>
          <w:tcPr>
            <w:tcW w:w="1236" w:type="dxa"/>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所属专业大类</w:t>
            </w:r>
          </w:p>
          <w:p>
            <w:pPr>
              <w:spacing w:line="360" w:lineRule="exact"/>
              <w:jc w:val="center"/>
              <w:rPr>
                <w:rFonts w:ascii="仿宋" w:hAnsi="仿宋" w:eastAsia="仿宋" w:cs="仿宋"/>
                <w:b/>
                <w:sz w:val="24"/>
                <w:szCs w:val="24"/>
              </w:rPr>
            </w:pPr>
            <w:r>
              <w:rPr>
                <w:rFonts w:hint="eastAsia" w:ascii="仿宋" w:hAnsi="仿宋" w:eastAsia="仿宋" w:cs="仿宋"/>
                <w:b/>
                <w:sz w:val="24"/>
                <w:szCs w:val="24"/>
              </w:rPr>
              <w:t>（代码）</w:t>
            </w:r>
          </w:p>
        </w:tc>
        <w:tc>
          <w:tcPr>
            <w:tcW w:w="1214" w:type="dxa"/>
            <w:vAlign w:val="center"/>
          </w:tcPr>
          <w:p>
            <w:pPr>
              <w:spacing w:line="360" w:lineRule="exact"/>
              <w:jc w:val="center"/>
              <w:rPr>
                <w:rFonts w:ascii="仿宋" w:hAnsi="仿宋" w:eastAsia="仿宋" w:cs="仿宋"/>
                <w:b/>
                <w:sz w:val="24"/>
                <w:szCs w:val="24"/>
              </w:rPr>
            </w:pPr>
            <w:r>
              <w:rPr>
                <w:rFonts w:hint="eastAsia" w:ascii="仿宋" w:hAnsi="仿宋" w:eastAsia="仿宋" w:cs="仿宋"/>
                <w:b/>
                <w:color w:val="0D0D0D"/>
                <w:sz w:val="24"/>
                <w:szCs w:val="24"/>
              </w:rPr>
              <w:t>专业（技能）方向</w:t>
            </w:r>
          </w:p>
        </w:tc>
        <w:tc>
          <w:tcPr>
            <w:tcW w:w="1227" w:type="dxa"/>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对应行业</w:t>
            </w:r>
          </w:p>
        </w:tc>
        <w:tc>
          <w:tcPr>
            <w:tcW w:w="1037" w:type="dxa"/>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主要职业类别</w:t>
            </w:r>
          </w:p>
        </w:tc>
        <w:tc>
          <w:tcPr>
            <w:tcW w:w="2018" w:type="dxa"/>
            <w:vAlign w:val="center"/>
          </w:tcPr>
          <w:p>
            <w:pPr>
              <w:spacing w:line="360" w:lineRule="exact"/>
              <w:jc w:val="center"/>
              <w:rPr>
                <w:rFonts w:ascii="仿宋" w:hAnsi="仿宋" w:eastAsia="仿宋" w:cs="仿宋"/>
                <w:b/>
                <w:sz w:val="24"/>
                <w:szCs w:val="24"/>
              </w:rPr>
            </w:pPr>
            <w:r>
              <w:rPr>
                <w:rFonts w:hint="eastAsia" w:ascii="仿宋" w:hAnsi="仿宋" w:eastAsia="仿宋" w:cs="仿宋"/>
                <w:b/>
                <w:sz w:val="24"/>
                <w:szCs w:val="24"/>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2" w:hRule="exact"/>
        </w:trPr>
        <w:tc>
          <w:tcPr>
            <w:tcW w:w="1236" w:type="dxa"/>
            <w:vAlign w:val="center"/>
          </w:tcPr>
          <w:p>
            <w:pPr>
              <w:spacing w:line="360" w:lineRule="exact"/>
              <w:jc w:val="center"/>
              <w:rPr>
                <w:rFonts w:ascii="仿宋" w:hAnsi="仿宋" w:eastAsia="仿宋" w:cs="仿宋"/>
                <w:bCs/>
                <w:sz w:val="24"/>
                <w:szCs w:val="24"/>
              </w:rPr>
            </w:pPr>
            <w:r>
              <w:rPr>
                <w:rFonts w:hint="eastAsia" w:ascii="仿宋" w:hAnsi="仿宋" w:eastAsia="仿宋" w:cs="仿宋"/>
                <w:bCs/>
                <w:sz w:val="24"/>
                <w:szCs w:val="24"/>
              </w:rPr>
              <w:t>财经商贸大类（</w:t>
            </w:r>
            <w:r>
              <w:rPr>
                <w:rFonts w:ascii="仿宋" w:hAnsi="仿宋" w:eastAsia="仿宋" w:cs="仿宋"/>
                <w:bCs/>
                <w:sz w:val="24"/>
                <w:szCs w:val="24"/>
                <w:lang w:val="en-US"/>
              </w:rPr>
              <w:t>73</w:t>
            </w:r>
            <w:r>
              <w:rPr>
                <w:rFonts w:hint="eastAsia" w:ascii="仿宋" w:hAnsi="仿宋" w:eastAsia="仿宋" w:cs="仿宋"/>
                <w:bCs/>
                <w:sz w:val="24"/>
                <w:szCs w:val="24"/>
              </w:rPr>
              <w:t>）</w:t>
            </w:r>
          </w:p>
        </w:tc>
        <w:tc>
          <w:tcPr>
            <w:tcW w:w="1214" w:type="dxa"/>
            <w:vAlign w:val="center"/>
          </w:tcPr>
          <w:p>
            <w:pPr>
              <w:spacing w:line="360" w:lineRule="exact"/>
              <w:jc w:val="center"/>
              <w:rPr>
                <w:rFonts w:ascii="仿宋" w:hAnsi="仿宋" w:eastAsia="仿宋" w:cs="仿宋"/>
                <w:bCs/>
                <w:sz w:val="24"/>
                <w:szCs w:val="24"/>
              </w:rPr>
            </w:pPr>
            <w:r>
              <w:rPr>
                <w:rFonts w:hint="eastAsia" w:ascii="仿宋" w:hAnsi="仿宋" w:eastAsia="仿宋" w:cs="仿宋"/>
                <w:color w:val="0D0D0D"/>
                <w:sz w:val="24"/>
                <w:szCs w:val="24"/>
              </w:rPr>
              <w:t>会计事务</w:t>
            </w:r>
          </w:p>
        </w:tc>
        <w:tc>
          <w:tcPr>
            <w:tcW w:w="1227" w:type="dxa"/>
            <w:vAlign w:val="center"/>
          </w:tcPr>
          <w:p>
            <w:pPr>
              <w:spacing w:line="360" w:lineRule="exact"/>
              <w:jc w:val="center"/>
              <w:rPr>
                <w:rFonts w:ascii="仿宋" w:hAnsi="仿宋" w:eastAsia="仿宋" w:cs="仿宋"/>
                <w:bCs/>
                <w:sz w:val="24"/>
                <w:szCs w:val="24"/>
              </w:rPr>
            </w:pPr>
            <w:r>
              <w:rPr>
                <w:rFonts w:hint="eastAsia" w:ascii="仿宋" w:hAnsi="仿宋" w:eastAsia="仿宋" w:cs="仿宋"/>
                <w:color w:val="0D0D0D"/>
                <w:sz w:val="24"/>
                <w:szCs w:val="24"/>
              </w:rPr>
              <w:t>会计事务所、各企事业单位会计部门、金融公司</w:t>
            </w:r>
          </w:p>
        </w:tc>
        <w:tc>
          <w:tcPr>
            <w:tcW w:w="1037" w:type="dxa"/>
            <w:vAlign w:val="center"/>
          </w:tcPr>
          <w:p>
            <w:pPr>
              <w:spacing w:line="360" w:lineRule="exact"/>
              <w:jc w:val="center"/>
              <w:rPr>
                <w:rFonts w:hint="default" w:ascii="仿宋" w:hAnsi="仿宋" w:eastAsia="仿宋" w:cs="仿宋"/>
                <w:bCs/>
                <w:sz w:val="24"/>
                <w:szCs w:val="24"/>
                <w:lang w:val="en-US" w:eastAsia="zh-CN"/>
              </w:rPr>
            </w:pPr>
            <w:r>
              <w:rPr>
                <w:rFonts w:hint="eastAsia" w:ascii="仿宋" w:hAnsi="仿宋" w:eastAsia="仿宋" w:cs="仿宋"/>
                <w:color w:val="0D0D0D"/>
                <w:sz w:val="24"/>
                <w:szCs w:val="24"/>
              </w:rPr>
              <w:t>会计核算、</w:t>
            </w:r>
            <w:r>
              <w:rPr>
                <w:rFonts w:hint="eastAsia" w:ascii="仿宋" w:hAnsi="仿宋" w:eastAsia="仿宋" w:cs="仿宋"/>
                <w:color w:val="0D0D0D"/>
                <w:sz w:val="24"/>
                <w:szCs w:val="24"/>
                <w:lang w:val="en-US" w:eastAsia="zh-CN"/>
              </w:rPr>
              <w:t>办税员、出纳、</w:t>
            </w:r>
            <w:r>
              <w:rPr>
                <w:rFonts w:hint="eastAsia" w:ascii="仿宋" w:hAnsi="仿宋" w:eastAsia="仿宋" w:cs="仿宋"/>
                <w:color w:val="0D0D0D"/>
                <w:sz w:val="24"/>
                <w:szCs w:val="24"/>
              </w:rPr>
              <w:t>总账会计</w:t>
            </w:r>
            <w:r>
              <w:rPr>
                <w:rFonts w:hint="eastAsia" w:ascii="仿宋" w:hAnsi="仿宋" w:eastAsia="仿宋" w:cs="仿宋"/>
                <w:color w:val="0D0D0D"/>
                <w:sz w:val="24"/>
                <w:szCs w:val="24"/>
                <w:lang w:eastAsia="zh-CN"/>
              </w:rPr>
              <w:t>、</w:t>
            </w:r>
            <w:r>
              <w:rPr>
                <w:rFonts w:hint="eastAsia" w:ascii="仿宋" w:hAnsi="仿宋" w:eastAsia="仿宋" w:cs="仿宋"/>
                <w:color w:val="0D0D0D"/>
                <w:sz w:val="24"/>
                <w:szCs w:val="24"/>
                <w:lang w:val="en-US" w:eastAsia="zh-CN"/>
              </w:rPr>
              <w:t>财经文员</w:t>
            </w:r>
          </w:p>
        </w:tc>
        <w:tc>
          <w:tcPr>
            <w:tcW w:w="2018" w:type="dxa"/>
            <w:vAlign w:val="center"/>
          </w:tcPr>
          <w:p>
            <w:pPr>
              <w:spacing w:line="360" w:lineRule="exact"/>
              <w:jc w:val="center"/>
              <w:rPr>
                <w:rFonts w:hint="default" w:ascii="仿宋" w:hAnsi="仿宋" w:eastAsia="仿宋" w:cs="仿宋"/>
                <w:color w:val="0D0D0D"/>
                <w:sz w:val="24"/>
                <w:szCs w:val="24"/>
                <w:lang w:val="en-US" w:eastAsia="zh-CN"/>
              </w:rPr>
            </w:pPr>
            <w:r>
              <w:rPr>
                <w:rFonts w:hint="eastAsia" w:ascii="仿宋" w:hAnsi="仿宋" w:eastAsia="仿宋" w:cs="仿宋"/>
                <w:color w:val="0D0D0D"/>
                <w:sz w:val="24"/>
                <w:szCs w:val="24"/>
                <w:lang w:val="en-US" w:eastAsia="zh-CN"/>
              </w:rPr>
              <w:t>财务共享服务职业技能等级证书（初级）、用友会计软件应用</w:t>
            </w:r>
          </w:p>
        </w:tc>
      </w:tr>
    </w:tbl>
    <w:p>
      <w:pPr>
        <w:pStyle w:val="3"/>
        <w:spacing w:before="5"/>
        <w:rPr>
          <w:rFonts w:ascii="黑体"/>
          <w:sz w:val="9"/>
        </w:rPr>
      </w:pPr>
    </w:p>
    <w:p>
      <w:pPr>
        <w:pStyle w:val="3"/>
        <w:spacing w:before="124"/>
        <w:ind w:left="216"/>
        <w:rPr>
          <w:rFonts w:ascii="黑体" w:eastAsia="黑体"/>
          <w:color w:val="0D0D0D"/>
        </w:rPr>
      </w:pPr>
      <w:bookmarkStart w:id="4" w:name="_bookmark4"/>
      <w:bookmarkEnd w:id="4"/>
    </w:p>
    <w:p>
      <w:pPr>
        <w:pStyle w:val="3"/>
        <w:spacing w:before="124"/>
        <w:ind w:left="216"/>
        <w:rPr>
          <w:rFonts w:ascii="黑体" w:eastAsia="黑体"/>
          <w:color w:val="0D0D0D"/>
        </w:rPr>
      </w:pPr>
    </w:p>
    <w:p>
      <w:pPr>
        <w:pStyle w:val="3"/>
        <w:spacing w:before="124"/>
        <w:ind w:left="216"/>
        <w:rPr>
          <w:rFonts w:ascii="黑体" w:eastAsia="黑体"/>
          <w:color w:val="0D0D0D"/>
        </w:rPr>
      </w:pPr>
    </w:p>
    <w:p>
      <w:pPr>
        <w:pStyle w:val="3"/>
        <w:spacing w:before="124"/>
        <w:ind w:left="216"/>
        <w:rPr>
          <w:rFonts w:ascii="黑体" w:eastAsia="黑体"/>
          <w:color w:val="0D0D0D"/>
        </w:rPr>
      </w:pPr>
    </w:p>
    <w:p>
      <w:pPr>
        <w:pStyle w:val="3"/>
        <w:spacing w:before="124"/>
        <w:ind w:left="216"/>
        <w:rPr>
          <w:rFonts w:ascii="黑体" w:eastAsia="黑体"/>
          <w:color w:val="0D0D0D"/>
        </w:rPr>
      </w:pPr>
    </w:p>
    <w:p>
      <w:pPr>
        <w:pStyle w:val="3"/>
        <w:spacing w:before="124"/>
        <w:ind w:left="216"/>
        <w:rPr>
          <w:rFonts w:ascii="黑体" w:eastAsia="黑体"/>
          <w:color w:val="0D0D0D"/>
        </w:rPr>
      </w:pPr>
    </w:p>
    <w:p>
      <w:pPr>
        <w:pStyle w:val="3"/>
        <w:spacing w:before="124"/>
        <w:ind w:left="216"/>
        <w:rPr>
          <w:rFonts w:ascii="黑体" w:eastAsia="黑体"/>
          <w:color w:val="0D0D0D"/>
        </w:rPr>
      </w:pPr>
    </w:p>
    <w:p>
      <w:pPr>
        <w:pStyle w:val="3"/>
        <w:spacing w:before="124"/>
        <w:ind w:left="216"/>
        <w:rPr>
          <w:rFonts w:ascii="黑体" w:eastAsia="黑体"/>
          <w:color w:val="0D0D0D"/>
        </w:rPr>
      </w:pPr>
    </w:p>
    <w:p>
      <w:pPr>
        <w:pStyle w:val="3"/>
        <w:spacing w:before="124"/>
        <w:ind w:left="216"/>
        <w:rPr>
          <w:rFonts w:ascii="黑体" w:eastAsia="黑体"/>
          <w:color w:val="0D0D0D"/>
        </w:rPr>
      </w:pPr>
    </w:p>
    <w:p>
      <w:pPr>
        <w:pStyle w:val="3"/>
        <w:spacing w:before="124"/>
        <w:ind w:left="216"/>
        <w:rPr>
          <w:rFonts w:ascii="黑体" w:eastAsia="黑体"/>
        </w:rPr>
      </w:pPr>
      <w:r>
        <w:rPr>
          <w:rFonts w:hint="eastAsia" w:ascii="黑体" w:eastAsia="黑体"/>
          <w:color w:val="0D0D0D"/>
        </w:rPr>
        <w:t>五、培养目标与培养规格</w:t>
      </w:r>
    </w:p>
    <w:p>
      <w:pPr>
        <w:pStyle w:val="3"/>
        <w:spacing w:before="268"/>
        <w:ind w:left="216"/>
        <w:rPr>
          <w:b/>
          <w:bCs/>
        </w:rPr>
      </w:pPr>
      <w:bookmarkStart w:id="5" w:name="_bookmark5"/>
      <w:bookmarkEnd w:id="5"/>
      <w:r>
        <w:rPr>
          <w:b/>
          <w:bCs/>
          <w:color w:val="0D0D0D"/>
        </w:rPr>
        <w:t>（一）培养目标</w:t>
      </w:r>
    </w:p>
    <w:p>
      <w:pPr>
        <w:pStyle w:val="3"/>
        <w:spacing w:before="240" w:line="388" w:lineRule="auto"/>
        <w:ind w:left="216" w:right="588" w:firstLine="599"/>
        <w:rPr>
          <w:rFonts w:hint="eastAsia" w:ascii="宋体" w:hAnsi="宋体" w:eastAsia="宋体" w:cs="宋体"/>
          <w:color w:val="0D0D0D"/>
          <w:spacing w:val="-6"/>
          <w:sz w:val="30"/>
          <w:szCs w:val="22"/>
          <w:lang w:val="en-US" w:eastAsia="zh-CN" w:bidi="zh-CN"/>
        </w:rPr>
      </w:pPr>
      <w:r>
        <w:rPr>
          <w:rFonts w:ascii="宋体" w:hAnsi="宋体" w:eastAsia="宋体" w:cs="宋体"/>
          <w:color w:val="0D0D0D"/>
          <w:spacing w:val="-6"/>
          <w:sz w:val="30"/>
          <w:szCs w:val="22"/>
          <w:lang w:val="zh-CN" w:eastAsia="zh-CN" w:bidi="zh-CN"/>
        </w:rPr>
        <w:t>校企合作共同构建“岗位主导、因能分层”工学结合人才培养模式，以社会需求为导向，以岗位能力为标准，培养适应生产、建设、管理、服务第一线需要的高素质应用型中职人才。可以在小型企业、小微企业从事会计、出纳、报税员、财经文员以及仓库管理员等工作,可以在各商场、超市从事收银工作,可以在非银行金融机构从事会计和出纳工作,可以继续深造，参加职业高</w:t>
      </w:r>
      <w:r>
        <w:rPr>
          <w:rFonts w:hint="eastAsia" w:ascii="宋体" w:hAnsi="宋体" w:eastAsia="宋体" w:cs="宋体"/>
          <w:color w:val="0D0D0D"/>
          <w:spacing w:val="-6"/>
          <w:sz w:val="30"/>
          <w:szCs w:val="22"/>
          <w:lang w:val="en-US" w:eastAsia="zh-CN" w:bidi="zh-CN"/>
        </w:rPr>
        <w:t>考。</w:t>
      </w:r>
    </w:p>
    <w:p>
      <w:pPr>
        <w:pStyle w:val="3"/>
        <w:spacing w:before="32"/>
        <w:ind w:left="216"/>
        <w:rPr>
          <w:b/>
          <w:bCs/>
        </w:rPr>
      </w:pPr>
      <w:r>
        <w:rPr>
          <w:b/>
          <w:bCs/>
          <w:color w:val="0D0D0D"/>
        </w:rPr>
        <w:t>（二）培养规格</w:t>
      </w:r>
    </w:p>
    <w:p>
      <w:pPr>
        <w:pStyle w:val="2"/>
        <w:numPr>
          <w:ilvl w:val="0"/>
          <w:numId w:val="2"/>
        </w:numPr>
        <w:tabs>
          <w:tab w:val="left" w:pos="1125"/>
        </w:tabs>
        <w:spacing w:before="78"/>
        <w:ind w:left="1184" w:leftChars="0" w:firstLineChars="0"/>
      </w:pPr>
      <w:r>
        <w:rPr>
          <w:color w:val="0D0D0D"/>
        </w:rPr>
        <w:t>职业素养</w:t>
      </w:r>
    </w:p>
    <w:p>
      <w:pPr>
        <w:pStyle w:val="11"/>
        <w:numPr>
          <w:ilvl w:val="0"/>
          <w:numId w:val="3"/>
        </w:numPr>
        <w:tabs>
          <w:tab w:val="left" w:pos="1570"/>
        </w:tabs>
        <w:spacing w:before="79"/>
        <w:rPr>
          <w:sz w:val="30"/>
        </w:rPr>
      </w:pPr>
      <w:r>
        <w:rPr>
          <w:color w:val="0D0D0D"/>
          <w:spacing w:val="-5"/>
          <w:sz w:val="30"/>
        </w:rPr>
        <w:t>具有良好的职业道德，能自觉遵守行业法规、规范和企业规</w:t>
      </w:r>
    </w:p>
    <w:p>
      <w:pPr>
        <w:pStyle w:val="3"/>
        <w:spacing w:before="36"/>
        <w:ind w:left="216"/>
      </w:pPr>
      <w:r>
        <w:rPr>
          <w:color w:val="0D0D0D"/>
        </w:rPr>
        <w:t>章制度。</w:t>
      </w:r>
    </w:p>
    <w:p>
      <w:pPr>
        <w:pStyle w:val="11"/>
        <w:numPr>
          <w:ilvl w:val="0"/>
          <w:numId w:val="3"/>
        </w:numPr>
        <w:tabs>
          <w:tab w:val="left" w:pos="1570"/>
        </w:tabs>
        <w:spacing w:line="388" w:lineRule="auto"/>
        <w:ind w:left="216" w:right="735" w:firstLine="600"/>
        <w:rPr>
          <w:sz w:val="30"/>
        </w:rPr>
      </w:pPr>
      <w:r>
        <w:rPr>
          <w:color w:val="0D0D0D"/>
          <w:spacing w:val="-6"/>
          <w:sz w:val="30"/>
        </w:rPr>
        <w:t>具有正确的择业观念，爱岗敬业、吃苦耐劳、忠于职守、诚</w:t>
      </w:r>
      <w:r>
        <w:rPr>
          <w:color w:val="0D0D0D"/>
          <w:sz w:val="30"/>
        </w:rPr>
        <w:t>实守信。</w:t>
      </w:r>
    </w:p>
    <w:p>
      <w:pPr>
        <w:pStyle w:val="11"/>
        <w:numPr>
          <w:ilvl w:val="0"/>
          <w:numId w:val="3"/>
        </w:numPr>
        <w:tabs>
          <w:tab w:val="left" w:pos="1570"/>
        </w:tabs>
        <w:spacing w:before="3" w:line="388" w:lineRule="auto"/>
        <w:ind w:left="216" w:right="739" w:firstLine="600"/>
        <w:rPr>
          <w:sz w:val="30"/>
        </w:rPr>
      </w:pPr>
      <w:r>
        <w:rPr>
          <w:color w:val="0D0D0D"/>
          <w:sz w:val="30"/>
        </w:rPr>
        <w:t>具备继续学习、自我提升及终身学习</w:t>
      </w:r>
      <w:r>
        <w:rPr>
          <w:rFonts w:hint="eastAsia"/>
          <w:color w:val="0D0D0D"/>
          <w:sz w:val="30"/>
        </w:rPr>
        <w:t>备考</w:t>
      </w:r>
      <w:r>
        <w:rPr>
          <w:color w:val="0D0D0D"/>
          <w:sz w:val="30"/>
        </w:rPr>
        <w:t>的能力</w:t>
      </w:r>
      <w:r>
        <w:rPr>
          <w:color w:val="0D0D0D"/>
          <w:spacing w:val="-4"/>
          <w:sz w:val="30"/>
        </w:rPr>
        <w:t>。</w:t>
      </w:r>
    </w:p>
    <w:p>
      <w:pPr>
        <w:pStyle w:val="11"/>
        <w:numPr>
          <w:ilvl w:val="0"/>
          <w:numId w:val="3"/>
        </w:numPr>
        <w:tabs>
          <w:tab w:val="left" w:pos="1570"/>
        </w:tabs>
        <w:spacing w:before="3" w:line="388" w:lineRule="auto"/>
        <w:ind w:left="216" w:right="739" w:firstLine="600"/>
        <w:rPr>
          <w:sz w:val="30"/>
        </w:rPr>
      </w:pPr>
      <w:r>
        <w:rPr>
          <w:color w:val="0D0D0D"/>
          <w:spacing w:val="-5"/>
          <w:sz w:val="30"/>
        </w:rPr>
        <w:t>具有一定的</w:t>
      </w:r>
      <w:r>
        <w:rPr>
          <w:rFonts w:hint="eastAsia"/>
          <w:color w:val="0D0D0D"/>
          <w:spacing w:val="-5"/>
          <w:sz w:val="30"/>
        </w:rPr>
        <w:t>毅力</w:t>
      </w:r>
      <w:r>
        <w:rPr>
          <w:color w:val="0D0D0D"/>
          <w:spacing w:val="-5"/>
          <w:sz w:val="30"/>
        </w:rPr>
        <w:t>、良好的团队合作精神、较强的沟通</w:t>
      </w:r>
      <w:r>
        <w:rPr>
          <w:color w:val="0D0D0D"/>
          <w:spacing w:val="-4"/>
          <w:sz w:val="30"/>
        </w:rPr>
        <w:t>能力和人际关系协调能力。</w:t>
      </w:r>
    </w:p>
    <w:p>
      <w:pPr>
        <w:pStyle w:val="11"/>
        <w:numPr>
          <w:ilvl w:val="0"/>
          <w:numId w:val="3"/>
        </w:numPr>
        <w:tabs>
          <w:tab w:val="left" w:pos="1570"/>
        </w:tabs>
        <w:spacing w:before="3" w:line="388" w:lineRule="auto"/>
        <w:ind w:left="216" w:right="735" w:firstLine="600"/>
        <w:rPr>
          <w:sz w:val="30"/>
        </w:rPr>
      </w:pPr>
      <w:r>
        <w:rPr>
          <w:color w:val="0D0D0D"/>
          <w:sz w:val="30"/>
        </w:rPr>
        <w:t>具有严格</w:t>
      </w:r>
      <w:r>
        <w:rPr>
          <w:rFonts w:hint="eastAsia"/>
          <w:color w:val="0D0D0D"/>
          <w:sz w:val="30"/>
        </w:rPr>
        <w:t>遵守企业财务制度和相关管理制度的能力</w:t>
      </w:r>
      <w:r>
        <w:rPr>
          <w:rFonts w:hint="eastAsia"/>
          <w:color w:val="0D0D0D"/>
          <w:spacing w:val="-4"/>
          <w:sz w:val="30"/>
        </w:rPr>
        <w:t>。</w:t>
      </w:r>
    </w:p>
    <w:p>
      <w:pPr>
        <w:pStyle w:val="3"/>
        <w:ind w:firstLine="904" w:firstLineChars="300"/>
        <w:rPr>
          <w:b/>
          <w:bCs/>
        </w:rPr>
      </w:pPr>
      <w:r>
        <w:rPr>
          <w:rFonts w:hint="eastAsia"/>
          <w:b/>
          <w:bCs/>
          <w:lang w:val="en-US" w:eastAsia="zh-CN"/>
        </w:rPr>
        <w:t>2.</w:t>
      </w:r>
      <w:r>
        <w:rPr>
          <w:b/>
          <w:bCs/>
        </w:rPr>
        <w:t>通用知识和技能</w:t>
      </w:r>
    </w:p>
    <w:p>
      <w:pPr>
        <w:pStyle w:val="11"/>
        <w:numPr>
          <w:ilvl w:val="0"/>
          <w:numId w:val="0"/>
        </w:numPr>
        <w:tabs>
          <w:tab w:val="left" w:pos="2237"/>
        </w:tabs>
        <w:spacing w:before="242" w:after="0" w:line="400" w:lineRule="auto"/>
        <w:ind w:right="250" w:rightChars="0" w:firstLine="810" w:firstLineChars="300"/>
        <w:jc w:val="left"/>
        <w:rPr>
          <w:sz w:val="28"/>
        </w:rPr>
      </w:pPr>
      <w:r>
        <w:rPr>
          <w:rFonts w:hint="eastAsia"/>
          <w:spacing w:val="-5"/>
          <w:sz w:val="28"/>
          <w:lang w:eastAsia="zh-CN"/>
        </w:rPr>
        <w:t>（</w:t>
      </w:r>
      <w:r>
        <w:rPr>
          <w:rFonts w:hint="eastAsia"/>
          <w:spacing w:val="-5"/>
          <w:sz w:val="28"/>
          <w:lang w:val="en-US" w:eastAsia="zh-CN"/>
        </w:rPr>
        <w:t>1</w:t>
      </w:r>
      <w:r>
        <w:rPr>
          <w:rFonts w:hint="eastAsia"/>
          <w:spacing w:val="-5"/>
          <w:sz w:val="28"/>
          <w:lang w:eastAsia="zh-CN"/>
        </w:rPr>
        <w:t>）</w:t>
      </w:r>
      <w:r>
        <w:rPr>
          <w:spacing w:val="-5"/>
          <w:sz w:val="28"/>
        </w:rPr>
        <w:t>较强的阅读能力，一定的写作能力，较强的理解领悟能力，良好的沟</w:t>
      </w:r>
      <w:r>
        <w:rPr>
          <w:spacing w:val="-3"/>
          <w:sz w:val="28"/>
        </w:rPr>
        <w:t>通能力</w:t>
      </w:r>
    </w:p>
    <w:p>
      <w:pPr>
        <w:pStyle w:val="11"/>
        <w:numPr>
          <w:ilvl w:val="0"/>
          <w:numId w:val="0"/>
        </w:numPr>
        <w:tabs>
          <w:tab w:val="left" w:pos="2237"/>
        </w:tabs>
        <w:spacing w:before="1" w:after="0" w:line="240" w:lineRule="auto"/>
        <w:ind w:right="0" w:rightChars="0" w:firstLine="822" w:firstLineChars="300"/>
        <w:jc w:val="left"/>
        <w:rPr>
          <w:sz w:val="28"/>
        </w:rPr>
      </w:pPr>
      <w:r>
        <w:rPr>
          <w:rFonts w:hint="eastAsia"/>
          <w:spacing w:val="-3"/>
          <w:sz w:val="28"/>
          <w:lang w:eastAsia="zh-CN"/>
        </w:rPr>
        <w:t>（</w:t>
      </w:r>
      <w:r>
        <w:rPr>
          <w:rFonts w:hint="eastAsia"/>
          <w:spacing w:val="-3"/>
          <w:sz w:val="28"/>
          <w:lang w:val="en-US" w:eastAsia="zh-CN"/>
        </w:rPr>
        <w:t>2</w:t>
      </w:r>
      <w:r>
        <w:rPr>
          <w:rFonts w:hint="eastAsia"/>
          <w:spacing w:val="-3"/>
          <w:sz w:val="28"/>
          <w:lang w:eastAsia="zh-CN"/>
        </w:rPr>
        <w:t>）</w:t>
      </w:r>
      <w:r>
        <w:rPr>
          <w:spacing w:val="-3"/>
          <w:sz w:val="28"/>
        </w:rPr>
        <w:t>要有一定的计算机应用能力。</w:t>
      </w:r>
    </w:p>
    <w:p>
      <w:pPr>
        <w:pStyle w:val="11"/>
        <w:numPr>
          <w:ilvl w:val="0"/>
          <w:numId w:val="0"/>
        </w:numPr>
        <w:tabs>
          <w:tab w:val="left" w:pos="2237"/>
        </w:tabs>
        <w:spacing w:before="242" w:after="0" w:line="240" w:lineRule="auto"/>
        <w:ind w:right="0" w:rightChars="0" w:firstLine="822" w:firstLineChars="300"/>
        <w:jc w:val="left"/>
        <w:rPr>
          <w:sz w:val="28"/>
        </w:rPr>
      </w:pPr>
      <w:r>
        <w:rPr>
          <w:rFonts w:hint="eastAsia"/>
          <w:spacing w:val="-3"/>
          <w:sz w:val="28"/>
          <w:lang w:eastAsia="zh-CN"/>
        </w:rPr>
        <w:t>（</w:t>
      </w:r>
      <w:r>
        <w:rPr>
          <w:rFonts w:hint="eastAsia"/>
          <w:spacing w:val="-3"/>
          <w:sz w:val="28"/>
          <w:lang w:val="en-US" w:eastAsia="zh-CN"/>
        </w:rPr>
        <w:t>3</w:t>
      </w:r>
      <w:r>
        <w:rPr>
          <w:rFonts w:hint="eastAsia"/>
          <w:spacing w:val="-3"/>
          <w:sz w:val="28"/>
          <w:lang w:eastAsia="zh-CN"/>
        </w:rPr>
        <w:t>）</w:t>
      </w:r>
      <w:r>
        <w:rPr>
          <w:spacing w:val="-3"/>
          <w:sz w:val="28"/>
        </w:rPr>
        <w:t>熟练点钞、传票翻打，数码字书写工整</w:t>
      </w:r>
    </w:p>
    <w:p>
      <w:pPr>
        <w:pStyle w:val="11"/>
        <w:numPr>
          <w:ilvl w:val="0"/>
          <w:numId w:val="0"/>
        </w:numPr>
        <w:tabs>
          <w:tab w:val="left" w:pos="2237"/>
        </w:tabs>
        <w:spacing w:before="241" w:after="0" w:line="240" w:lineRule="auto"/>
        <w:ind w:right="0" w:rightChars="0" w:firstLine="822" w:firstLineChars="300"/>
        <w:jc w:val="left"/>
        <w:rPr>
          <w:sz w:val="28"/>
        </w:rPr>
      </w:pPr>
      <w:r>
        <w:rPr>
          <w:rFonts w:hint="eastAsia"/>
          <w:spacing w:val="-3"/>
          <w:sz w:val="28"/>
          <w:lang w:eastAsia="zh-CN"/>
        </w:rPr>
        <w:t>（</w:t>
      </w:r>
      <w:r>
        <w:rPr>
          <w:rFonts w:hint="eastAsia"/>
          <w:spacing w:val="-3"/>
          <w:sz w:val="28"/>
          <w:lang w:val="en-US" w:eastAsia="zh-CN"/>
        </w:rPr>
        <w:t>4</w:t>
      </w:r>
      <w:r>
        <w:rPr>
          <w:rFonts w:hint="eastAsia"/>
          <w:spacing w:val="-3"/>
          <w:sz w:val="28"/>
          <w:lang w:eastAsia="zh-CN"/>
        </w:rPr>
        <w:t>）</w:t>
      </w:r>
      <w:r>
        <w:rPr>
          <w:spacing w:val="-3"/>
          <w:sz w:val="28"/>
        </w:rPr>
        <w:t>熟悉各工作岗位流程</w:t>
      </w:r>
    </w:p>
    <w:p>
      <w:pPr>
        <w:pStyle w:val="11"/>
        <w:numPr>
          <w:ilvl w:val="0"/>
          <w:numId w:val="0"/>
        </w:numPr>
        <w:tabs>
          <w:tab w:val="left" w:pos="2237"/>
        </w:tabs>
        <w:spacing w:before="241" w:after="0" w:line="240" w:lineRule="auto"/>
        <w:ind w:right="0" w:rightChars="0" w:firstLine="822" w:firstLineChars="300"/>
        <w:jc w:val="left"/>
        <w:rPr>
          <w:sz w:val="28"/>
        </w:rPr>
      </w:pPr>
      <w:r>
        <w:rPr>
          <w:rFonts w:hint="eastAsia"/>
          <w:spacing w:val="-3"/>
          <w:sz w:val="28"/>
          <w:lang w:eastAsia="zh-CN"/>
        </w:rPr>
        <w:t>（</w:t>
      </w:r>
      <w:r>
        <w:rPr>
          <w:rFonts w:hint="eastAsia"/>
          <w:spacing w:val="-3"/>
          <w:sz w:val="28"/>
          <w:lang w:val="en-US" w:eastAsia="zh-CN"/>
        </w:rPr>
        <w:t>5</w:t>
      </w:r>
      <w:r>
        <w:rPr>
          <w:rFonts w:hint="eastAsia"/>
          <w:spacing w:val="-3"/>
          <w:sz w:val="28"/>
          <w:lang w:eastAsia="zh-CN"/>
        </w:rPr>
        <w:t>）</w:t>
      </w:r>
      <w:r>
        <w:rPr>
          <w:spacing w:val="-3"/>
          <w:sz w:val="28"/>
        </w:rPr>
        <w:t>具有继续学习的能力</w:t>
      </w:r>
    </w:p>
    <w:p>
      <w:pPr>
        <w:spacing w:line="388" w:lineRule="auto"/>
        <w:rPr>
          <w:sz w:val="30"/>
        </w:rPr>
        <w:sectPr>
          <w:footerReference r:id="rId4" w:type="default"/>
          <w:headerReference r:id="rId3" w:type="even"/>
          <w:footerReference r:id="rId5" w:type="even"/>
          <w:pgSz w:w="11910" w:h="16840"/>
          <w:pgMar w:top="1500" w:right="680" w:bottom="1240" w:left="1200" w:header="0" w:footer="1053" w:gutter="0"/>
          <w:cols w:space="720" w:num="1"/>
        </w:sectPr>
      </w:pPr>
    </w:p>
    <w:p>
      <w:pPr>
        <w:pStyle w:val="11"/>
        <w:numPr>
          <w:ilvl w:val="0"/>
          <w:numId w:val="0"/>
        </w:numPr>
        <w:tabs>
          <w:tab w:val="left" w:pos="1570"/>
        </w:tabs>
        <w:spacing w:before="80"/>
        <w:ind w:left="816" w:leftChars="0"/>
        <w:rPr>
          <w:rFonts w:ascii="Microsoft JhengHei" w:hAnsi="Microsoft JhengHei" w:eastAsia="Microsoft JhengHei" w:cs="Microsoft JhengHei"/>
          <w:b/>
          <w:bCs/>
          <w:color w:val="0D0D0D"/>
          <w:sz w:val="30"/>
          <w:szCs w:val="30"/>
          <w:lang w:val="zh-CN" w:eastAsia="zh-CN" w:bidi="zh-CN"/>
        </w:rPr>
      </w:pPr>
      <w:r>
        <w:rPr>
          <w:rFonts w:hint="eastAsia" w:ascii="Microsoft JhengHei" w:hAnsi="Microsoft JhengHei" w:eastAsia="Microsoft JhengHei" w:cs="Microsoft JhengHei"/>
          <w:b/>
          <w:bCs/>
          <w:color w:val="0D0D0D"/>
          <w:sz w:val="30"/>
          <w:szCs w:val="30"/>
          <w:lang w:val="en-US" w:eastAsia="zh-CN" w:bidi="zh-CN"/>
        </w:rPr>
        <w:t>3.</w:t>
      </w:r>
      <w:r>
        <w:rPr>
          <w:rFonts w:ascii="Microsoft JhengHei" w:hAnsi="Microsoft JhengHei" w:eastAsia="Microsoft JhengHei" w:cs="Microsoft JhengHei"/>
          <w:b/>
          <w:bCs/>
          <w:color w:val="0D0D0D"/>
          <w:sz w:val="30"/>
          <w:szCs w:val="30"/>
          <w:lang w:val="zh-CN" w:eastAsia="zh-CN" w:bidi="zh-CN"/>
        </w:rPr>
        <w:t>专业知识和技能</w:t>
      </w:r>
    </w:p>
    <w:p>
      <w:pPr>
        <w:pStyle w:val="11"/>
        <w:numPr>
          <w:ilvl w:val="0"/>
          <w:numId w:val="0"/>
        </w:numPr>
        <w:tabs>
          <w:tab w:val="left" w:pos="2237"/>
        </w:tabs>
        <w:spacing w:before="242" w:after="0" w:line="400" w:lineRule="auto"/>
        <w:ind w:right="252" w:rightChars="0" w:firstLine="640" w:firstLineChars="200"/>
        <w:jc w:val="left"/>
        <w:rPr>
          <w:rFonts w:hint="eastAsia" w:ascii="宋体" w:hAnsi="宋体" w:eastAsia="宋体"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1</w:t>
      </w:r>
      <w:r>
        <w:rPr>
          <w:rFonts w:hint="eastAsia" w:ascii="宋体" w:hAnsi="宋体" w:eastAsia="宋体" w:cs="宋体"/>
          <w:bCs/>
          <w:kern w:val="0"/>
          <w:sz w:val="32"/>
          <w:szCs w:val="32"/>
          <w:lang w:val="zh-CN" w:eastAsia="zh-CN" w:bidi="zh-CN"/>
        </w:rPr>
        <w:t>）熟练掌握小型企业、小微企业会计核算、成本计算的基本方法及账务处理程序</w:t>
      </w:r>
    </w:p>
    <w:p>
      <w:pPr>
        <w:pStyle w:val="11"/>
        <w:numPr>
          <w:ilvl w:val="0"/>
          <w:numId w:val="0"/>
        </w:numPr>
        <w:tabs>
          <w:tab w:val="left" w:pos="2237"/>
        </w:tabs>
        <w:spacing w:before="1" w:after="0" w:line="240" w:lineRule="auto"/>
        <w:ind w:right="0" w:rightChars="0" w:firstLine="640" w:firstLineChars="200"/>
        <w:jc w:val="left"/>
        <w:rPr>
          <w:rFonts w:hint="eastAsia" w:ascii="宋体" w:hAnsi="宋体" w:eastAsia="宋体"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2</w:t>
      </w:r>
      <w:r>
        <w:rPr>
          <w:rFonts w:hint="eastAsia" w:ascii="宋体" w:hAnsi="宋体" w:eastAsia="宋体" w:cs="宋体"/>
          <w:bCs/>
          <w:kern w:val="0"/>
          <w:sz w:val="32"/>
          <w:szCs w:val="32"/>
          <w:lang w:val="zh-CN" w:eastAsia="zh-CN" w:bidi="zh-CN"/>
        </w:rPr>
        <w:t>）能够熟练识别、审核和整理原始凭证</w:t>
      </w:r>
    </w:p>
    <w:p>
      <w:pPr>
        <w:pStyle w:val="11"/>
        <w:numPr>
          <w:ilvl w:val="0"/>
          <w:numId w:val="0"/>
        </w:numPr>
        <w:tabs>
          <w:tab w:val="left" w:pos="2237"/>
        </w:tabs>
        <w:spacing w:before="242" w:after="0" w:line="240" w:lineRule="auto"/>
        <w:ind w:right="0" w:rightChars="0" w:firstLine="640" w:firstLineChars="200"/>
        <w:jc w:val="left"/>
        <w:rPr>
          <w:rFonts w:hint="eastAsia" w:ascii="宋体" w:hAnsi="宋体" w:eastAsia="宋体"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3</w:t>
      </w:r>
      <w:r>
        <w:rPr>
          <w:rFonts w:hint="eastAsia" w:ascii="宋体" w:hAnsi="宋体" w:eastAsia="宋体" w:cs="宋体"/>
          <w:bCs/>
          <w:kern w:val="0"/>
          <w:sz w:val="32"/>
          <w:szCs w:val="32"/>
          <w:lang w:val="zh-CN" w:eastAsia="zh-CN" w:bidi="zh-CN"/>
        </w:rPr>
        <w:t>）正确编制记账凭证、编制科目汇总表</w:t>
      </w:r>
    </w:p>
    <w:p>
      <w:pPr>
        <w:pStyle w:val="11"/>
        <w:numPr>
          <w:ilvl w:val="0"/>
          <w:numId w:val="0"/>
        </w:numPr>
        <w:tabs>
          <w:tab w:val="left" w:pos="2237"/>
        </w:tabs>
        <w:spacing w:before="241" w:after="0" w:line="240" w:lineRule="auto"/>
        <w:ind w:right="0" w:rightChars="0" w:firstLine="640" w:firstLineChars="200"/>
        <w:jc w:val="left"/>
        <w:rPr>
          <w:rFonts w:hint="eastAsia" w:ascii="宋体" w:hAnsi="宋体" w:eastAsia="宋体"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4</w:t>
      </w:r>
      <w:r>
        <w:rPr>
          <w:rFonts w:hint="eastAsia" w:ascii="宋体" w:hAnsi="宋体" w:eastAsia="宋体" w:cs="宋体"/>
          <w:bCs/>
          <w:kern w:val="0"/>
          <w:sz w:val="32"/>
          <w:szCs w:val="32"/>
          <w:lang w:val="zh-CN" w:eastAsia="zh-CN" w:bidi="zh-CN"/>
        </w:rPr>
        <w:t>）能够熟练开设并登记账簿</w:t>
      </w:r>
    </w:p>
    <w:p>
      <w:pPr>
        <w:pStyle w:val="11"/>
        <w:numPr>
          <w:ilvl w:val="0"/>
          <w:numId w:val="0"/>
        </w:numPr>
        <w:tabs>
          <w:tab w:val="left" w:pos="2237"/>
        </w:tabs>
        <w:spacing w:before="241" w:after="0" w:line="240" w:lineRule="auto"/>
        <w:ind w:right="0" w:rightChars="0" w:firstLine="640" w:firstLineChars="200"/>
        <w:jc w:val="left"/>
        <w:rPr>
          <w:rFonts w:hint="eastAsia" w:ascii="宋体" w:hAnsi="宋体" w:eastAsia="宋体"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5</w:t>
      </w:r>
      <w:r>
        <w:rPr>
          <w:rFonts w:hint="eastAsia" w:ascii="宋体" w:hAnsi="宋体" w:eastAsia="宋体" w:cs="宋体"/>
          <w:bCs/>
          <w:kern w:val="0"/>
          <w:sz w:val="32"/>
          <w:szCs w:val="32"/>
          <w:lang w:val="zh-CN" w:eastAsia="zh-CN" w:bidi="zh-CN"/>
        </w:rPr>
        <w:t>）能够熟练编制会计报表</w:t>
      </w:r>
    </w:p>
    <w:p>
      <w:pPr>
        <w:pStyle w:val="11"/>
        <w:numPr>
          <w:ilvl w:val="0"/>
          <w:numId w:val="0"/>
        </w:numPr>
        <w:tabs>
          <w:tab w:val="left" w:pos="2237"/>
        </w:tabs>
        <w:spacing w:before="241" w:after="0" w:line="240" w:lineRule="auto"/>
        <w:ind w:right="0" w:rightChars="0" w:firstLine="640" w:firstLineChars="200"/>
        <w:jc w:val="left"/>
        <w:rPr>
          <w:rFonts w:hint="eastAsia" w:ascii="宋体" w:hAnsi="宋体" w:eastAsia="宋体"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6</w:t>
      </w:r>
      <w:r>
        <w:rPr>
          <w:rFonts w:hint="eastAsia" w:ascii="宋体" w:hAnsi="宋体" w:eastAsia="宋体" w:cs="宋体"/>
          <w:bCs/>
          <w:kern w:val="0"/>
          <w:sz w:val="32"/>
          <w:szCs w:val="32"/>
          <w:lang w:val="zh-CN" w:eastAsia="zh-CN" w:bidi="zh-CN"/>
        </w:rPr>
        <w:t>）能够熟练进行成本的计算</w:t>
      </w:r>
    </w:p>
    <w:p>
      <w:pPr>
        <w:pStyle w:val="11"/>
        <w:numPr>
          <w:ilvl w:val="0"/>
          <w:numId w:val="0"/>
        </w:numPr>
        <w:tabs>
          <w:tab w:val="left" w:pos="2237"/>
        </w:tabs>
        <w:spacing w:before="241" w:after="0" w:line="240" w:lineRule="auto"/>
        <w:ind w:right="0" w:rightChars="0" w:firstLine="640" w:firstLineChars="200"/>
        <w:jc w:val="left"/>
        <w:rPr>
          <w:rFonts w:hint="eastAsia" w:ascii="宋体" w:hAnsi="宋体" w:eastAsia="宋体"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7</w:t>
      </w:r>
      <w:r>
        <w:rPr>
          <w:rFonts w:hint="eastAsia" w:ascii="宋体" w:hAnsi="宋体" w:eastAsia="宋体" w:cs="宋体"/>
          <w:bCs/>
          <w:kern w:val="0"/>
          <w:sz w:val="32"/>
          <w:szCs w:val="32"/>
          <w:lang w:val="zh-CN" w:eastAsia="zh-CN" w:bidi="zh-CN"/>
        </w:rPr>
        <w:t>）熟练各种税费的计算和申报</w:t>
      </w:r>
    </w:p>
    <w:p>
      <w:pPr>
        <w:pStyle w:val="11"/>
        <w:numPr>
          <w:ilvl w:val="0"/>
          <w:numId w:val="0"/>
        </w:numPr>
        <w:tabs>
          <w:tab w:val="left" w:pos="2237"/>
        </w:tabs>
        <w:spacing w:before="241" w:after="0" w:line="240" w:lineRule="auto"/>
        <w:ind w:right="0" w:rightChars="0" w:firstLine="640" w:firstLineChars="200"/>
        <w:jc w:val="left"/>
        <w:rPr>
          <w:rFonts w:hint="eastAsia" w:ascii="宋体" w:hAnsi="宋体" w:eastAsia="宋体"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8</w:t>
      </w:r>
      <w:r>
        <w:rPr>
          <w:rFonts w:hint="eastAsia" w:ascii="宋体" w:hAnsi="宋体" w:eastAsia="宋体" w:cs="宋体"/>
          <w:bCs/>
          <w:kern w:val="0"/>
          <w:sz w:val="32"/>
          <w:szCs w:val="32"/>
          <w:lang w:val="zh-CN" w:eastAsia="zh-CN" w:bidi="zh-CN"/>
        </w:rPr>
        <w:t>）掌握各种票据的填制</w:t>
      </w:r>
    </w:p>
    <w:p>
      <w:pPr>
        <w:pStyle w:val="11"/>
        <w:numPr>
          <w:ilvl w:val="0"/>
          <w:numId w:val="0"/>
        </w:numPr>
        <w:tabs>
          <w:tab w:val="left" w:pos="2237"/>
        </w:tabs>
        <w:spacing w:before="241" w:after="0" w:line="240" w:lineRule="auto"/>
        <w:ind w:right="0" w:rightChars="0" w:firstLine="640" w:firstLineChars="200"/>
        <w:jc w:val="left"/>
        <w:rPr>
          <w:rFonts w:hint="eastAsia" w:ascii="宋体" w:hAnsi="宋体" w:eastAsia="宋体"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9</w:t>
      </w:r>
      <w:r>
        <w:rPr>
          <w:rFonts w:hint="eastAsia" w:ascii="宋体" w:hAnsi="宋体" w:eastAsia="宋体" w:cs="宋体"/>
          <w:bCs/>
          <w:kern w:val="0"/>
          <w:sz w:val="32"/>
          <w:szCs w:val="32"/>
          <w:lang w:val="zh-CN" w:eastAsia="zh-CN" w:bidi="zh-CN"/>
        </w:rPr>
        <w:t>）掌握现金提现、解缴、收支</w:t>
      </w:r>
    </w:p>
    <w:p>
      <w:pPr>
        <w:pStyle w:val="11"/>
        <w:numPr>
          <w:ilvl w:val="0"/>
          <w:numId w:val="0"/>
        </w:numPr>
        <w:tabs>
          <w:tab w:val="left" w:pos="2237"/>
        </w:tabs>
        <w:spacing w:before="241" w:after="0" w:line="240" w:lineRule="auto"/>
        <w:ind w:right="0" w:rightChars="0" w:firstLine="640" w:firstLineChars="200"/>
        <w:jc w:val="left"/>
        <w:rPr>
          <w:rFonts w:hint="eastAsia" w:ascii="仿宋_GB2312" w:hAnsi="宋体" w:eastAsia="仿宋_GB2312" w:cs="宋体"/>
          <w:bCs/>
          <w:kern w:val="0"/>
          <w:sz w:val="32"/>
          <w:szCs w:val="32"/>
          <w:lang w:val="zh-CN" w:eastAsia="zh-CN" w:bidi="zh-CN"/>
        </w:rPr>
      </w:pPr>
      <w:r>
        <w:rPr>
          <w:rFonts w:hint="eastAsia" w:ascii="宋体" w:hAnsi="宋体" w:eastAsia="宋体" w:cs="宋体"/>
          <w:bCs/>
          <w:kern w:val="0"/>
          <w:sz w:val="32"/>
          <w:szCs w:val="32"/>
          <w:lang w:val="zh-CN" w:eastAsia="zh-CN" w:bidi="zh-CN"/>
        </w:rPr>
        <w:t>（</w:t>
      </w:r>
      <w:r>
        <w:rPr>
          <w:rFonts w:hint="eastAsia" w:ascii="宋体" w:hAnsi="宋体" w:eastAsia="宋体" w:cs="宋体"/>
          <w:bCs/>
          <w:kern w:val="0"/>
          <w:sz w:val="32"/>
          <w:szCs w:val="32"/>
          <w:lang w:val="en-US" w:eastAsia="zh-CN" w:bidi="zh-CN"/>
        </w:rPr>
        <w:t>10</w:t>
      </w:r>
      <w:r>
        <w:rPr>
          <w:rFonts w:hint="eastAsia" w:ascii="宋体" w:hAnsi="宋体" w:eastAsia="宋体" w:cs="宋体"/>
          <w:bCs/>
          <w:kern w:val="0"/>
          <w:sz w:val="32"/>
          <w:szCs w:val="32"/>
          <w:lang w:val="zh-CN" w:eastAsia="zh-CN" w:bidi="zh-CN"/>
        </w:rPr>
        <w:t>）熟练掌握收银岗位的各项技能</w:t>
      </w:r>
    </w:p>
    <w:p>
      <w:pPr>
        <w:pStyle w:val="3"/>
        <w:spacing w:before="36"/>
        <w:ind w:right="7086"/>
        <w:rPr>
          <w:rFonts w:ascii="黑体" w:eastAsia="黑体"/>
          <w:sz w:val="32"/>
          <w:szCs w:val="32"/>
        </w:rPr>
      </w:pPr>
      <w:r>
        <w:rPr>
          <w:rFonts w:hint="eastAsia" w:ascii="黑体" w:eastAsia="黑体"/>
          <w:color w:val="0D0D0D"/>
          <w:sz w:val="32"/>
          <w:szCs w:val="32"/>
        </w:rPr>
        <w:t>六、课程设置及要求</w:t>
      </w:r>
    </w:p>
    <w:p>
      <w:pPr>
        <w:spacing w:line="600" w:lineRule="exact"/>
        <w:ind w:firstLine="640" w:firstLineChars="200"/>
        <w:rPr>
          <w:rFonts w:hint="eastAsia" w:ascii="仿宋_GB2312" w:hAnsi="宋体" w:eastAsia="仿宋_GB2312"/>
          <w:bCs/>
          <w:kern w:val="0"/>
          <w:sz w:val="32"/>
          <w:szCs w:val="32"/>
        </w:rPr>
      </w:pPr>
      <w:bookmarkStart w:id="6" w:name="_bookmark8"/>
      <w:bookmarkEnd w:id="6"/>
      <w:r>
        <w:rPr>
          <w:rFonts w:hint="eastAsia" w:ascii="仿宋_GB2312" w:hAnsi="宋体" w:eastAsia="仿宋_GB2312"/>
          <w:bCs/>
          <w:kern w:val="0"/>
          <w:sz w:val="32"/>
          <w:szCs w:val="32"/>
        </w:rPr>
        <w:t>课程的设置和安排要以企业需求为基本依据，通过公共基础课程和专业（技能）课程的学习，培养具有良好的职业素养，了解和掌握会计处理方法，具有计算机操作技能及会使用</w:t>
      </w:r>
      <w:r>
        <w:rPr>
          <w:rFonts w:hint="eastAsia" w:ascii="仿宋_GB2312" w:eastAsia="仿宋_GB2312"/>
          <w:bCs/>
          <w:kern w:val="0"/>
          <w:sz w:val="32"/>
          <w:szCs w:val="32"/>
          <w:lang w:val="en-US" w:eastAsia="zh-CN"/>
        </w:rPr>
        <w:t>相关</w:t>
      </w:r>
      <w:r>
        <w:rPr>
          <w:rFonts w:hint="eastAsia" w:ascii="仿宋_GB2312" w:hAnsi="宋体" w:eastAsia="仿宋_GB2312"/>
          <w:bCs/>
          <w:kern w:val="0"/>
          <w:sz w:val="32"/>
          <w:szCs w:val="32"/>
        </w:rPr>
        <w:t>会计软件，能胜任</w:t>
      </w:r>
      <w:r>
        <w:rPr>
          <w:rFonts w:hint="eastAsia" w:ascii="仿宋_GB2312" w:eastAsia="仿宋_GB2312"/>
          <w:bCs/>
          <w:kern w:val="0"/>
          <w:sz w:val="32"/>
          <w:szCs w:val="32"/>
          <w:lang w:val="en-US" w:eastAsia="zh-CN"/>
        </w:rPr>
        <w:t>报税、</w:t>
      </w:r>
      <w:r>
        <w:rPr>
          <w:rFonts w:hint="eastAsia" w:ascii="仿宋_GB2312" w:hAnsi="宋体" w:eastAsia="仿宋_GB2312"/>
          <w:bCs/>
          <w:kern w:val="0"/>
          <w:sz w:val="32"/>
          <w:szCs w:val="32"/>
        </w:rPr>
        <w:t>出纳、会计核算、点钞等技能</w:t>
      </w:r>
      <w:r>
        <w:rPr>
          <w:rFonts w:hint="eastAsia" w:ascii="仿宋_GB2312" w:eastAsia="仿宋_GB2312"/>
          <w:bCs/>
          <w:kern w:val="0"/>
          <w:sz w:val="32"/>
          <w:szCs w:val="32"/>
          <w:lang w:eastAsia="zh-CN"/>
        </w:rPr>
        <w:t>，</w:t>
      </w:r>
      <w:r>
        <w:rPr>
          <w:rFonts w:hint="eastAsia" w:ascii="仿宋_GB2312" w:hAnsi="宋体" w:eastAsia="仿宋_GB2312"/>
          <w:bCs/>
          <w:kern w:val="0"/>
          <w:sz w:val="32"/>
          <w:szCs w:val="32"/>
        </w:rPr>
        <w:t>能编制报表以及简单的财经应用文写作能力。同时应重视培养学生具有良好的会计职业道德以及较强的综合素质和学习能力，为进一步的专业深造及终身学习提供基础。</w:t>
      </w:r>
    </w:p>
    <w:p>
      <w:pPr>
        <w:pStyle w:val="2"/>
        <w:spacing w:before="168"/>
        <w:ind w:left="198" w:right="7080" w:firstLine="0"/>
        <w:jc w:val="center"/>
      </w:pPr>
      <w:r>
        <w:rPr>
          <w:color w:val="0D0D0D"/>
        </w:rPr>
        <w:t>（一）公共基础课程</w:t>
      </w:r>
    </w:p>
    <w:p>
      <w:pPr>
        <w:rPr>
          <w:rFonts w:ascii="仿宋" w:hAnsi="仿宋" w:eastAsia="仿宋" w:cs="仿宋"/>
          <w:sz w:val="28"/>
          <w:szCs w:val="28"/>
        </w:rPr>
      </w:pPr>
    </w:p>
    <w:tbl>
      <w:tblPr>
        <w:tblStyle w:val="8"/>
        <w:tblW w:w="8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8"/>
        <w:gridCol w:w="3282"/>
        <w:gridCol w:w="320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8" w:type="dxa"/>
          </w:tcPr>
          <w:p>
            <w:pPr>
              <w:jc w:val="center"/>
              <w:rPr>
                <w:rFonts w:ascii="仿宋" w:hAnsi="仿宋" w:eastAsia="仿宋" w:cs="仿宋"/>
                <w:szCs w:val="21"/>
              </w:rPr>
            </w:pPr>
            <w:r>
              <w:rPr>
                <w:rFonts w:hint="eastAsia" w:ascii="仿宋" w:hAnsi="仿宋" w:eastAsia="仿宋" w:cs="仿宋"/>
                <w:szCs w:val="21"/>
              </w:rPr>
              <w:t>课程名称</w:t>
            </w:r>
          </w:p>
        </w:tc>
        <w:tc>
          <w:tcPr>
            <w:tcW w:w="3282" w:type="dxa"/>
          </w:tcPr>
          <w:p>
            <w:pPr>
              <w:jc w:val="center"/>
              <w:rPr>
                <w:rFonts w:ascii="仿宋" w:hAnsi="仿宋" w:eastAsia="仿宋" w:cs="仿宋"/>
                <w:szCs w:val="21"/>
              </w:rPr>
            </w:pPr>
            <w:r>
              <w:rPr>
                <w:rFonts w:hint="eastAsia" w:ascii="仿宋" w:hAnsi="仿宋" w:eastAsia="仿宋" w:cs="仿宋"/>
                <w:szCs w:val="21"/>
              </w:rPr>
              <w:t>课程目标</w:t>
            </w:r>
          </w:p>
        </w:tc>
        <w:tc>
          <w:tcPr>
            <w:tcW w:w="3203" w:type="dxa"/>
          </w:tcPr>
          <w:p>
            <w:pPr>
              <w:jc w:val="center"/>
              <w:rPr>
                <w:rFonts w:ascii="仿宋" w:hAnsi="仿宋" w:eastAsia="仿宋" w:cs="仿宋"/>
                <w:szCs w:val="21"/>
              </w:rPr>
            </w:pPr>
            <w:r>
              <w:rPr>
                <w:rFonts w:hint="eastAsia" w:ascii="仿宋" w:hAnsi="仿宋" w:eastAsia="仿宋" w:cs="仿宋"/>
                <w:szCs w:val="21"/>
              </w:rPr>
              <w:t>主要教学内容和要求</w:t>
            </w:r>
          </w:p>
        </w:tc>
        <w:tc>
          <w:tcPr>
            <w:tcW w:w="697" w:type="dxa"/>
          </w:tcPr>
          <w:p>
            <w:pPr>
              <w:jc w:val="center"/>
              <w:rPr>
                <w:rFonts w:ascii="仿宋" w:hAnsi="仿宋" w:eastAsia="仿宋" w:cs="仿宋"/>
                <w:szCs w:val="21"/>
              </w:rPr>
            </w:pPr>
            <w:r>
              <w:rPr>
                <w:rFonts w:hint="eastAsia" w:ascii="仿宋" w:hAnsi="仿宋" w:eastAsia="仿宋" w:cs="仿宋"/>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98" w:type="dxa"/>
          </w:tcPr>
          <w:p>
            <w:pPr>
              <w:jc w:val="center"/>
              <w:rPr>
                <w:rFonts w:ascii="仿宋" w:hAnsi="仿宋" w:eastAsia="仿宋" w:cs="仿宋"/>
                <w:szCs w:val="21"/>
                <w:highlight w:val="yellow"/>
              </w:rPr>
            </w:pPr>
          </w:p>
          <w:p>
            <w:pPr>
              <w:jc w:val="center"/>
              <w:rPr>
                <w:rFonts w:ascii="仿宋" w:hAnsi="仿宋" w:eastAsia="仿宋" w:cs="仿宋"/>
                <w:szCs w:val="21"/>
              </w:rPr>
            </w:pPr>
            <w:r>
              <w:rPr>
                <w:rFonts w:hint="eastAsia" w:ascii="仿宋" w:hAnsi="仿宋" w:eastAsia="仿宋" w:cs="仿宋"/>
                <w:sz w:val="21"/>
                <w:szCs w:val="21"/>
              </w:rPr>
              <w:t>习近平新时代中国特色社会</w:t>
            </w:r>
          </w:p>
          <w:p>
            <w:pPr>
              <w:jc w:val="center"/>
              <w:rPr>
                <w:rFonts w:ascii="仿宋" w:hAnsi="仿宋" w:eastAsia="仿宋" w:cs="仿宋"/>
                <w:szCs w:val="21"/>
                <w:highlight w:val="yellow"/>
              </w:rPr>
            </w:pPr>
            <w:r>
              <w:rPr>
                <w:rFonts w:hint="eastAsia" w:ascii="仿宋" w:hAnsi="仿宋" w:eastAsia="仿宋" w:cs="仿宋"/>
                <w:sz w:val="21"/>
                <w:szCs w:val="21"/>
              </w:rPr>
              <w:t>主义思想学生读本</w:t>
            </w:r>
          </w:p>
        </w:tc>
        <w:tc>
          <w:tcPr>
            <w:tcW w:w="3282" w:type="dxa"/>
          </w:tcPr>
          <w:p>
            <w:pPr>
              <w:jc w:val="center"/>
              <w:rPr>
                <w:rFonts w:ascii="仿宋" w:hAnsi="仿宋" w:eastAsia="仿宋" w:cs="仿宋"/>
                <w:szCs w:val="21"/>
                <w:highlight w:val="yellow"/>
              </w:rPr>
            </w:pPr>
            <w:r>
              <w:rPr>
                <w:rFonts w:hint="eastAsia" w:ascii="仿宋" w:hAnsi="仿宋" w:eastAsia="仿宋" w:cs="仿宋"/>
                <w:kern w:val="2"/>
                <w:sz w:val="21"/>
                <w:szCs w:val="21"/>
                <w:lang w:val="en-US" w:bidi="ar-SA"/>
              </w:rPr>
              <w:t>引导学生认识、理解、掌握中国特色社会主义新时代新在哪里；中华民族伟大复兴中国梦的内涵有哪</w:t>
            </w:r>
            <w:r>
              <w:rPr>
                <w:rFonts w:hint="eastAsia" w:ascii="仿宋" w:hAnsi="仿宋" w:eastAsia="仿宋" w:cs="仿宋"/>
                <w:sz w:val="21"/>
                <w:szCs w:val="21"/>
              </w:rPr>
              <w:t>些；中华</w:t>
            </w:r>
            <w:r>
              <w:rPr>
                <w:rFonts w:hint="eastAsia" w:ascii="仿宋" w:hAnsi="仿宋" w:eastAsia="仿宋" w:cs="仿宋"/>
                <w:szCs w:val="21"/>
              </w:rPr>
              <w:t>民族伟大复兴有着怎样的“路线图”；为什么要坚持以人民为中心为什么要坚持和加强党的全面领导；如何理解“五位一体”总体布局、“四个全面”战略布局实现中华民族伟大复兴的坚强保障有哪些；新时代中国特色大国外交有哪些重要内容；这些基本问题。进一步深化对习近平新时代中国特色社会主义思想的认识，掌握这一思想的科学体系、精神实质、理论品格、重大意义，感受习近平总书记坚定的政治信仰、朴素的人民</w:t>
            </w:r>
            <w:r>
              <w:rPr>
                <w:rFonts w:hint="eastAsia" w:ascii="仿宋" w:hAnsi="仿宋" w:eastAsia="仿宋" w:cs="仿宋"/>
                <w:szCs w:val="21"/>
                <w:lang w:val="en-US"/>
              </w:rPr>
              <w:t>情怀、丰富的文化积淀、长期的艰苦磨砺、高超的政治智慧，在知识学习中形成正确世界观人生观价值观，在理论思考中坚持正确政治方向，在阅读践行中坚定中国特色社会主义道路自信、理论自信、制度自信、文化自信</w:t>
            </w:r>
          </w:p>
        </w:tc>
        <w:tc>
          <w:tcPr>
            <w:tcW w:w="3203" w:type="dxa"/>
          </w:tcPr>
          <w:p>
            <w:pPr>
              <w:jc w:val="center"/>
              <w:rPr>
                <w:rFonts w:ascii="仿宋" w:hAnsi="仿宋" w:eastAsia="仿宋" w:cs="仿宋"/>
                <w:szCs w:val="21"/>
              </w:rPr>
            </w:pPr>
            <w:r>
              <w:rPr>
                <w:rFonts w:hint="eastAsia" w:ascii="仿宋" w:hAnsi="仿宋" w:eastAsia="仿宋" w:cs="仿宋"/>
                <w:szCs w:val="21"/>
                <w:lang w:val="en-US"/>
              </w:rPr>
              <w:t>通过本部分内容的学习，旨在让学生不断深化对习近平新时代中国特色社会主义</w:t>
            </w:r>
            <w:r>
              <w:rPr>
                <w:rFonts w:hint="eastAsia" w:ascii="仿宋" w:hAnsi="仿宋" w:eastAsia="仿宋" w:cs="仿宋"/>
                <w:szCs w:val="21"/>
              </w:rPr>
              <w:t>思想的系统认识，坚定方向、涵养力量、锻造本领，逐步形成对拥护党的领导和社会主义制度、坚持和发展中国特色社会主义的认同、自信和自觉，引导学生为国家和人民、为社会主义和共产主义事业而不懈奋斗</w:t>
            </w:r>
          </w:p>
          <w:p>
            <w:pPr>
              <w:pStyle w:val="12"/>
              <w:spacing w:line="364" w:lineRule="auto"/>
              <w:ind w:right="95"/>
              <w:jc w:val="both"/>
              <w:rPr>
                <w:sz w:val="21"/>
                <w:szCs w:val="21"/>
              </w:rPr>
            </w:pP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498" w:type="dxa"/>
          </w:tcPr>
          <w:p>
            <w:pPr>
              <w:jc w:val="center"/>
              <w:rPr>
                <w:rFonts w:ascii="仿宋" w:hAnsi="仿宋" w:eastAsia="仿宋" w:cs="仿宋"/>
                <w:szCs w:val="21"/>
                <w:highlight w:val="yellow"/>
              </w:rPr>
            </w:pPr>
          </w:p>
          <w:p>
            <w:pPr>
              <w:jc w:val="center"/>
              <w:rPr>
                <w:rFonts w:ascii="仿宋" w:hAnsi="仿宋" w:eastAsia="仿宋" w:cs="仿宋"/>
                <w:szCs w:val="21"/>
                <w:highlight w:val="yellow"/>
              </w:rPr>
            </w:pPr>
          </w:p>
          <w:p>
            <w:pPr>
              <w:pStyle w:val="4"/>
              <w:rPr>
                <w:rFonts w:ascii="仿宋" w:hAnsi="仿宋" w:eastAsia="仿宋" w:cs="仿宋"/>
                <w:sz w:val="21"/>
                <w:szCs w:val="21"/>
                <w:highlight w:val="yellow"/>
              </w:rPr>
            </w:pPr>
          </w:p>
          <w:p>
            <w:pPr>
              <w:pStyle w:val="4"/>
              <w:rPr>
                <w:rFonts w:ascii="仿宋" w:hAnsi="仿宋" w:eastAsia="仿宋" w:cs="仿宋"/>
                <w:sz w:val="21"/>
                <w:szCs w:val="21"/>
                <w:highlight w:val="yellow"/>
              </w:rPr>
            </w:pPr>
          </w:p>
          <w:p>
            <w:pPr>
              <w:jc w:val="center"/>
              <w:rPr>
                <w:rFonts w:ascii="仿宋" w:hAnsi="仿宋" w:eastAsia="仿宋" w:cs="仿宋"/>
                <w:szCs w:val="21"/>
                <w:highlight w:val="yellow"/>
              </w:rPr>
            </w:pPr>
          </w:p>
          <w:p>
            <w:pPr>
              <w:jc w:val="center"/>
              <w:rPr>
                <w:rFonts w:ascii="仿宋" w:hAnsi="仿宋" w:eastAsia="仿宋" w:cs="仿宋"/>
                <w:szCs w:val="21"/>
                <w:highlight w:val="yellow"/>
              </w:rPr>
            </w:pPr>
          </w:p>
          <w:p>
            <w:pPr>
              <w:jc w:val="center"/>
              <w:rPr>
                <w:rFonts w:ascii="仿宋" w:hAnsi="仿宋" w:eastAsia="仿宋" w:cs="仿宋"/>
                <w:szCs w:val="21"/>
              </w:rPr>
            </w:pPr>
            <w:r>
              <w:rPr>
                <w:rFonts w:hint="eastAsia" w:ascii="仿宋" w:hAnsi="仿宋" w:eastAsia="仿宋" w:cs="仿宋"/>
                <w:sz w:val="21"/>
                <w:szCs w:val="21"/>
              </w:rPr>
              <w:t>中国特色社会</w:t>
            </w:r>
          </w:p>
          <w:p>
            <w:pPr>
              <w:jc w:val="center"/>
              <w:rPr>
                <w:rFonts w:ascii="仿宋" w:hAnsi="仿宋" w:eastAsia="仿宋" w:cs="仿宋"/>
                <w:szCs w:val="21"/>
                <w:highlight w:val="yellow"/>
              </w:rPr>
            </w:pPr>
            <w:r>
              <w:rPr>
                <w:rFonts w:hint="eastAsia" w:ascii="仿宋" w:hAnsi="仿宋" w:eastAsia="仿宋" w:cs="仿宋"/>
                <w:sz w:val="21"/>
                <w:szCs w:val="21"/>
              </w:rPr>
              <w:t>主义</w:t>
            </w:r>
          </w:p>
        </w:tc>
        <w:tc>
          <w:tcPr>
            <w:tcW w:w="3282" w:type="dxa"/>
          </w:tcPr>
          <w:p>
            <w:pPr>
              <w:jc w:val="center"/>
              <w:rPr>
                <w:rFonts w:ascii="仿宋" w:hAnsi="仿宋" w:eastAsia="仿宋" w:cs="仿宋"/>
                <w:szCs w:val="21"/>
                <w:highlight w:val="yellow"/>
              </w:rPr>
            </w:pPr>
            <w:r>
              <w:rPr>
                <w:rFonts w:hint="eastAsia" w:ascii="仿宋" w:hAnsi="仿宋" w:eastAsia="仿宋" w:cs="仿宋"/>
                <w:szCs w:val="21"/>
              </w:rPr>
              <w:t>以习近平新时代中国特色社会主义思想为指导，阐释中国特色社会主义的开创与发展，明确中国特色社会主义进入新时代的历史方位，阐明中国特色社会主义建设“五位一体”总体布局的基本内容，引导学生树立对马克思主义的信仰、对中国特色社会主义的信念、对中华民族伟大复兴中国梦的信心，坚定中国特色社会主义道路自信、理论自信、制度自信、文化自信把爱国情、强国志、报国行自觉融入坚持和发展中国特色社会主义事业、建设社会主义现代化</w:t>
            </w:r>
            <w:r>
              <w:rPr>
                <w:rFonts w:hint="eastAsia" w:ascii="仿宋" w:hAnsi="仿宋" w:eastAsia="仿宋" w:cs="仿宋"/>
                <w:szCs w:val="21"/>
                <w:lang w:val="en-US"/>
              </w:rPr>
              <w:t>强国、实现中华民族伟大复兴的奋斗之中</w:t>
            </w:r>
          </w:p>
        </w:tc>
        <w:tc>
          <w:tcPr>
            <w:tcW w:w="3203" w:type="dxa"/>
          </w:tcPr>
          <w:p>
            <w:pPr>
              <w:jc w:val="center"/>
              <w:rPr>
                <w:rFonts w:ascii="仿宋" w:hAnsi="仿宋" w:eastAsia="仿宋" w:cs="仿宋"/>
                <w:szCs w:val="21"/>
              </w:rPr>
            </w:pPr>
            <w:r>
              <w:rPr>
                <w:rFonts w:hint="eastAsia" w:ascii="仿宋" w:hAnsi="仿宋" w:eastAsia="仿宋" w:cs="仿宋"/>
                <w:szCs w:val="21"/>
                <w:lang w:val="en-US"/>
              </w:rPr>
              <w:t>通过本部分内容的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 以热爱祖国为立身之本、成才之基，在新时代新征程中健康成长、成才报国</w:t>
            </w:r>
          </w:p>
          <w:p>
            <w:pPr>
              <w:pStyle w:val="12"/>
              <w:spacing w:before="181" w:line="364" w:lineRule="auto"/>
              <w:ind w:left="107" w:right="66"/>
              <w:jc w:val="both"/>
              <w:rPr>
                <w:color w:val="0D0D0D"/>
                <w:spacing w:val="-5"/>
                <w:sz w:val="21"/>
                <w:szCs w:val="21"/>
              </w:rPr>
            </w:pPr>
          </w:p>
        </w:tc>
        <w:tc>
          <w:tcPr>
            <w:tcW w:w="697" w:type="dxa"/>
          </w:tcPr>
          <w:p>
            <w:pPr>
              <w:jc w:val="cente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jc w:val="center"/>
              <w:rPr>
                <w:rFonts w:ascii="仿宋" w:hAnsi="仿宋" w:eastAsia="仿宋" w:cs="仿宋"/>
                <w:szCs w:val="21"/>
              </w:rPr>
            </w:pPr>
            <w:r>
              <w:rPr>
                <w:rFonts w:ascii="仿宋" w:hAnsi="仿宋" w:eastAsia="仿宋" w:cs="仿宋"/>
                <w:szCs w:val="21"/>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心理健康与职业生涯</w:t>
            </w:r>
          </w:p>
        </w:tc>
        <w:tc>
          <w:tcPr>
            <w:tcW w:w="3282" w:type="dxa"/>
          </w:tcPr>
          <w:p>
            <w:pPr>
              <w:jc w:val="center"/>
              <w:rPr>
                <w:rFonts w:ascii="仿宋" w:hAnsi="仿宋" w:eastAsia="仿宋" w:cs="仿宋"/>
                <w:szCs w:val="21"/>
              </w:rPr>
            </w:pPr>
            <w:r>
              <w:rPr>
                <w:rFonts w:hint="eastAsia" w:ascii="仿宋" w:hAnsi="仿宋" w:eastAsia="仿宋" w:cs="仿宋"/>
                <w:szCs w:val="21"/>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jc w:val="center"/>
              <w:rPr>
                <w:rFonts w:ascii="仿宋" w:hAnsi="仿宋" w:eastAsia="仿宋" w:cs="仿宋"/>
                <w:szCs w:val="21"/>
              </w:rPr>
            </w:pPr>
          </w:p>
        </w:tc>
        <w:tc>
          <w:tcPr>
            <w:tcW w:w="3203" w:type="dxa"/>
          </w:tcPr>
          <w:p>
            <w:pPr>
              <w:jc w:val="center"/>
              <w:rPr>
                <w:rFonts w:ascii="仿宋" w:hAnsi="仿宋" w:eastAsia="仿宋" w:cs="仿宋"/>
                <w:szCs w:val="21"/>
              </w:rPr>
            </w:pPr>
            <w:r>
              <w:rPr>
                <w:rFonts w:hint="eastAsia" w:ascii="仿宋" w:hAnsi="仿宋" w:eastAsia="仿宋" w:cs="仿宋"/>
                <w:szCs w:val="21"/>
                <w:lang w:val="en-US"/>
              </w:rPr>
              <w:t>依据《中等职业学校职业生涯规划教学大纲》和《** 省中等职业学校学生学业水平考试公共基础知识（德育）考试大纲》开设，并与专业实际和行业发展密切结合。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 提高应对挫折与适应社会的能力，掌握制订和执行职业生涯规划的方法，提升职业素养，为顺利就业创业创造条件</w:t>
            </w: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pStyle w:val="4"/>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哲学与人生</w:t>
            </w:r>
          </w:p>
        </w:tc>
        <w:tc>
          <w:tcPr>
            <w:tcW w:w="3282" w:type="dxa"/>
          </w:tcPr>
          <w:p>
            <w:pPr>
              <w:jc w:val="center"/>
              <w:rPr>
                <w:rFonts w:ascii="仿宋" w:hAnsi="仿宋" w:eastAsia="仿宋" w:cs="仿宋"/>
                <w:szCs w:val="21"/>
              </w:rPr>
            </w:pPr>
            <w:r>
              <w:rPr>
                <w:rFonts w:hint="eastAsia" w:ascii="仿宋" w:hAnsi="仿宋" w:eastAsia="仿宋" w:cs="仿宋"/>
                <w:szCs w:val="21"/>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tc>
        <w:tc>
          <w:tcPr>
            <w:tcW w:w="3203" w:type="dxa"/>
          </w:tcPr>
          <w:p>
            <w:pPr>
              <w:jc w:val="center"/>
              <w:rPr>
                <w:rFonts w:ascii="仿宋" w:hAnsi="仿宋" w:eastAsia="仿宋" w:cs="仿宋"/>
                <w:szCs w:val="21"/>
              </w:rPr>
            </w:pPr>
            <w:r>
              <w:rPr>
                <w:rFonts w:hint="eastAsia" w:ascii="仿宋" w:hAnsi="仿宋" w:eastAsia="仿宋" w:cs="仿宋"/>
                <w:kern w:val="2"/>
                <w:sz w:val="21"/>
                <w:szCs w:val="21"/>
                <w:lang w:val="en-US" w:bidi="ar-SA"/>
              </w:rPr>
              <w:t>依据《中等职业学校哲学与人生教学大纲》和《** 省中等职业学校学生学业水平考试公共基础知识（德育）考试大纲》开设，并与专业实际和行业发展密切结合。通过本部分内容的学习，学生能够了解马克思主义哲学基本原理，运用辩证唯物主义和历史唯物主义观点认识世界，坚持实践第一的观点，一切从实际出发、实事求是，学会用具体问题具体分析等方法，正确认识社会问题， 分析和处理个人成长中的人生问题，在生活中做出正确的价值判断和行为选择，自觉弘扬和践行社会主义核心价值观，为形成正确的世界观、人生观和价值观奠定基础</w:t>
            </w: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pStyle w:val="4"/>
            </w:pPr>
          </w:p>
          <w:p>
            <w:pPr>
              <w:jc w:val="cente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职业道德与法治</w:t>
            </w:r>
          </w:p>
        </w:tc>
        <w:tc>
          <w:tcPr>
            <w:tcW w:w="3282" w:type="dxa"/>
          </w:tcPr>
          <w:p>
            <w:pPr>
              <w:jc w:val="center"/>
              <w:rPr>
                <w:rFonts w:ascii="仿宋" w:hAnsi="仿宋" w:eastAsia="仿宋" w:cs="仿宋"/>
                <w:szCs w:val="21"/>
              </w:rPr>
            </w:pPr>
            <w:r>
              <w:rPr>
                <w:rFonts w:hint="eastAsia" w:ascii="仿宋" w:hAnsi="仿宋" w:eastAsia="仿宋" w:cs="仿宋"/>
                <w:szCs w:val="21"/>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tc>
        <w:tc>
          <w:tcPr>
            <w:tcW w:w="3203" w:type="dxa"/>
          </w:tcPr>
          <w:p>
            <w:pPr>
              <w:jc w:val="center"/>
              <w:rPr>
                <w:rFonts w:ascii="仿宋" w:hAnsi="仿宋" w:eastAsia="仿宋" w:cs="仿宋"/>
                <w:szCs w:val="21"/>
              </w:rPr>
            </w:pPr>
            <w:r>
              <w:rPr>
                <w:rFonts w:hint="eastAsia" w:ascii="仿宋" w:hAnsi="仿宋" w:eastAsia="仿宋" w:cs="仿宋"/>
                <w:szCs w:val="21"/>
              </w:rPr>
              <w:t>依据《中等职业学校职业道德与法律教学大纲》和《** 省中等职业学校学生学业水平考试公共基础知识（德育）考试大纲》开设，并与专业实际和行业发展密切结合。该课程依据十九大报告，对学生进行道德教育和法制教育。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语文</w:t>
            </w:r>
          </w:p>
        </w:tc>
        <w:tc>
          <w:tcPr>
            <w:tcW w:w="3282" w:type="dxa"/>
          </w:tcPr>
          <w:p>
            <w:pPr>
              <w:jc w:val="center"/>
              <w:rPr>
                <w:rFonts w:ascii="仿宋" w:hAnsi="仿宋" w:eastAsia="仿宋" w:cs="仿宋"/>
                <w:szCs w:val="21"/>
              </w:rPr>
            </w:pPr>
            <w:r>
              <w:rPr>
                <w:rFonts w:hint="eastAsia" w:ascii="仿宋" w:hAnsi="仿宋" w:eastAsia="仿宋" w:cs="仿宋"/>
                <w:szCs w:val="21"/>
              </w:rPr>
              <w:t>学生通过阅读与欣赏、表达与交流及语文综合实践等活动，在语言认知与积累、语言表达与交流、发展思维能力、提升思维品质审美发现与体验、审美鉴赏与评价、文化传承与参与几个方面都获得持续发展，提高语文学科核心素养，自觉弘扬社会主义核心价值观，坚定文化自信，树立正确的人生理想，涵养职业精神， 为适应个人终身发展和社会发展需要提供支撑</w:t>
            </w:r>
          </w:p>
        </w:tc>
        <w:tc>
          <w:tcPr>
            <w:tcW w:w="3203" w:type="dxa"/>
          </w:tcPr>
          <w:p>
            <w:pPr>
              <w:pStyle w:val="12"/>
              <w:spacing w:before="21" w:line="278" w:lineRule="auto"/>
              <w:ind w:left="111" w:right="93"/>
              <w:jc w:val="both"/>
              <w:rPr>
                <w:szCs w:val="21"/>
              </w:rPr>
            </w:pPr>
            <w:r>
              <w:rPr>
                <w:color w:val="0D0D0D"/>
                <w:sz w:val="21"/>
              </w:rPr>
              <w:t>依据《中等职业学校语文教学大纲》和《</w:t>
            </w:r>
            <w:r>
              <w:rPr>
                <w:rFonts w:hint="eastAsia"/>
                <w:color w:val="0D0D0D"/>
                <w:sz w:val="21"/>
              </w:rPr>
              <w:t xml:space="preserve">** </w:t>
            </w:r>
            <w:r>
              <w:rPr>
                <w:color w:val="0D0D0D"/>
                <w:sz w:val="21"/>
              </w:rPr>
              <w:t>省中等职业学校学生学业水平考试公共基础知识（语文）考试大纲》开设，并注重在职业模块的教学内容中体现专业特色。在学生原有知识的基础上，通过课堂教学和课外实践，进一步巩固和扩展学生必须的语文基础知识，努力提高学生的阅读理解能力、口语交际能力、思想道德水平，为全面提高学生基本素质，增强综合职业能力和适应能力奠定基础</w:t>
            </w:r>
          </w:p>
        </w:tc>
        <w:tc>
          <w:tcPr>
            <w:tcW w:w="697" w:type="dxa"/>
          </w:tcPr>
          <w:p>
            <w:pPr>
              <w:jc w:val="center"/>
              <w:rPr>
                <w:color w:val="0D0D0D"/>
              </w:rPr>
            </w:pPr>
          </w:p>
          <w:p>
            <w:pPr>
              <w:jc w:val="center"/>
              <w:rPr>
                <w:color w:val="0D0D0D"/>
              </w:rPr>
            </w:pPr>
          </w:p>
          <w:p>
            <w:pPr>
              <w:jc w:val="center"/>
              <w:rPr>
                <w:color w:val="0D0D0D"/>
              </w:rPr>
            </w:pPr>
          </w:p>
          <w:p>
            <w:pPr>
              <w:jc w:val="center"/>
              <w:rPr>
                <w:color w:val="0D0D0D"/>
              </w:rPr>
            </w:pPr>
          </w:p>
          <w:p>
            <w:pPr>
              <w:jc w:val="center"/>
              <w:rPr>
                <w:color w:val="0D0D0D"/>
              </w:rPr>
            </w:pPr>
          </w:p>
          <w:p>
            <w:pPr>
              <w:jc w:val="center"/>
              <w:rPr>
                <w:color w:val="0D0D0D"/>
              </w:rPr>
            </w:pPr>
          </w:p>
          <w:p>
            <w:pPr>
              <w:jc w:val="center"/>
              <w:rPr>
                <w:color w:val="0D0D0D"/>
              </w:rPr>
            </w:pPr>
          </w:p>
          <w:p>
            <w:pPr>
              <w:jc w:val="center"/>
              <w:rPr>
                <w:rFonts w:ascii="仿宋" w:hAnsi="仿宋" w:eastAsia="仿宋" w:cs="仿宋"/>
                <w:szCs w:val="21"/>
              </w:rPr>
            </w:pPr>
            <w:r>
              <w:rPr>
                <w:rFonts w:hint="eastAsia" w:eastAsia="仿宋"/>
              </w:rPr>
              <w:t>1</w:t>
            </w:r>
            <w:r>
              <w:rPr>
                <w:rFonts w:eastAsia="仿宋"/>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数学</w:t>
            </w:r>
          </w:p>
        </w:tc>
        <w:tc>
          <w:tcPr>
            <w:tcW w:w="3282" w:type="dxa"/>
          </w:tcPr>
          <w:p>
            <w:pPr>
              <w:jc w:val="center"/>
              <w:rPr>
                <w:rFonts w:ascii="仿宋" w:hAnsi="仿宋" w:eastAsia="仿宋" w:cs="仿宋"/>
                <w:szCs w:val="21"/>
              </w:rPr>
            </w:pPr>
            <w:r>
              <w:rPr>
                <w:rFonts w:hint="eastAsia" w:ascii="仿宋" w:hAnsi="仿宋" w:eastAsia="仿宋" w:cs="仿宋"/>
                <w:szCs w:val="21"/>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3203" w:type="dxa"/>
          </w:tcPr>
          <w:p>
            <w:pPr>
              <w:jc w:val="center"/>
              <w:rPr>
                <w:rFonts w:ascii="仿宋" w:hAnsi="仿宋" w:eastAsia="仿宋" w:cs="仿宋"/>
                <w:szCs w:val="21"/>
              </w:rPr>
            </w:pPr>
            <w:r>
              <w:rPr>
                <w:rFonts w:hint="eastAsia" w:ascii="仿宋" w:hAnsi="仿宋" w:eastAsia="仿宋" w:cs="仿宋"/>
                <w:szCs w:val="21"/>
              </w:rPr>
              <w:t>依据《中等职业学校数学教学大纲》和《** 省中等职业学校学生学业水平考试公共基础知识（数学）考试大纲》开设，并注重在职业模块的教学内容中体现专业特色。该课程全面贯彻党的教育方针，落实立德树人根本任务。通过学习，使学生能获得未来工作、学习和发展所必需的数学基础知识、基本技能、基本思想、基本活动经验，具备从数学角度发现和提出问题的能力、运用数学知识和思想方法分析和解决问题的能力。培养学生数学运算、直观想象、数据分析、逻辑推理、数学抽象、数学建模等数学学科核心素养，培养学生理性思维、敢于质疑、善于思考、严谨求实的科学精神和精益求精的工匠精神，加深对数学的科学价值、应用价值、文化价值和审美价值的认识</w:t>
            </w: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pStyle w:val="4"/>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英语</w:t>
            </w:r>
          </w:p>
        </w:tc>
        <w:tc>
          <w:tcPr>
            <w:tcW w:w="3282" w:type="dxa"/>
          </w:tcPr>
          <w:p>
            <w:pPr>
              <w:jc w:val="center"/>
              <w:rPr>
                <w:rFonts w:ascii="仿宋" w:hAnsi="仿宋" w:eastAsia="仿宋" w:cs="仿宋"/>
                <w:szCs w:val="21"/>
              </w:rPr>
            </w:pPr>
            <w:r>
              <w:rPr>
                <w:rFonts w:hint="eastAsia" w:ascii="仿宋" w:hAnsi="仿宋" w:eastAsia="仿宋" w:cs="仿宋"/>
                <w:szCs w:val="21"/>
              </w:rPr>
              <w:t>中等职业学校英语课程的目标是全面贯彻党的教育方针，落实立德树人根本任务，在义务教育的基础上，进一步激发学生英语学习的兴趣，帮助学生掌握英语基础知识和英语运用的基本技能，发展英语学科核心素养（包含职场语言沟通、思维差异感知、跨文化理解和自主学习），为学生的职业生涯、继续学习和终身发展奠定基础</w:t>
            </w:r>
          </w:p>
        </w:tc>
        <w:tc>
          <w:tcPr>
            <w:tcW w:w="3203" w:type="dxa"/>
          </w:tcPr>
          <w:p>
            <w:pPr>
              <w:jc w:val="center"/>
              <w:rPr>
                <w:rFonts w:ascii="仿宋" w:hAnsi="仿宋" w:eastAsia="仿宋" w:cs="仿宋"/>
                <w:szCs w:val="21"/>
              </w:rPr>
            </w:pPr>
            <w:r>
              <w:rPr>
                <w:rFonts w:hint="eastAsia" w:ascii="仿宋" w:hAnsi="仿宋" w:eastAsia="仿宋" w:cs="仿宋"/>
                <w:szCs w:val="21"/>
              </w:rPr>
              <w:t>依据《中等职业学校英语教学大纲》和《** 省中等职业学校学生学业水平考试公共基础知识（英语）考试大纲》开设，并注重在职业模块的教学内容中体现专业特色。通过学习，学生能够听懂简单的课堂用语及与课文主题相关或类似话题的陈述，能认读所学词语、识别常用英文标志和常见问题的浅显短文，能使用口头和书面语回答问题，简单描述个人经历。学生通过英语学习和语言实践， 逐步掌握基础知识和基本技能，不断提高语言运用能力和人文素养，为其职业发展和终身学习奠定良好的基础</w:t>
            </w: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pStyle w:val="4"/>
            </w:pPr>
          </w:p>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信息技术</w:t>
            </w:r>
          </w:p>
        </w:tc>
        <w:tc>
          <w:tcPr>
            <w:tcW w:w="3282" w:type="dxa"/>
          </w:tcPr>
          <w:p>
            <w:pPr>
              <w:jc w:val="center"/>
              <w:rPr>
                <w:rFonts w:ascii="仿宋" w:hAnsi="仿宋" w:eastAsia="仿宋" w:cs="仿宋"/>
                <w:szCs w:val="21"/>
              </w:rPr>
            </w:pPr>
            <w:r>
              <w:rPr>
                <w:rFonts w:hint="eastAsia" w:ascii="仿宋" w:hAnsi="仿宋" w:eastAsia="仿宋" w:cs="仿宋"/>
                <w:szCs w:val="21"/>
                <w:lang w:val="en-US"/>
              </w:rPr>
              <w:t>以立德树人为根本任务，</w:t>
            </w:r>
            <w:r>
              <w:rPr>
                <w:rFonts w:hint="eastAsia" w:ascii="仿宋" w:hAnsi="仿宋" w:eastAsia="仿宋" w:cs="仿宋"/>
                <w:szCs w:val="21"/>
              </w:rPr>
              <w:t>通过理论知识学习、基础技能训练和综合应用实践，培养学生符合时代要求的信息素养和适应职业发展需要的信息能力。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w:t>
            </w:r>
            <w:r>
              <w:rPr>
                <w:rFonts w:hint="eastAsia" w:ascii="仿宋" w:hAnsi="仿宋" w:eastAsia="仿宋" w:cs="仿宋"/>
                <w:szCs w:val="21"/>
                <w:lang w:val="en-US"/>
              </w:rPr>
              <w:t>奠</w:t>
            </w:r>
            <w:r>
              <w:rPr>
                <w:rFonts w:hint="eastAsia" w:ascii="仿宋" w:hAnsi="仿宋" w:eastAsia="仿宋" w:cs="仿宋"/>
                <w:szCs w:val="21"/>
              </w:rPr>
              <w:t>定基础</w:t>
            </w:r>
          </w:p>
        </w:tc>
        <w:tc>
          <w:tcPr>
            <w:tcW w:w="3203" w:type="dxa"/>
          </w:tcPr>
          <w:p>
            <w:pPr>
              <w:jc w:val="center"/>
            </w:pPr>
            <w:r>
              <w:rPr>
                <w:rFonts w:hint="eastAsia" w:ascii="仿宋" w:hAnsi="仿宋" w:eastAsia="仿宋" w:cs="仿宋"/>
                <w:szCs w:val="21"/>
              </w:rPr>
              <w:t>依据《中等职业学校计算机应用基础教学大纲》和《** 省中等职业学校学生学业水平考试公共基础知识（计算机应用基础）考试大纲》依据开设， 并注重在职业模块的教学内容中体现专业特色开设。通过学习，学生熟练掌握计算机的基本操作，掌握办公软件的常规操作，并能运用到实际生活工作中。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w:t>
            </w: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pStyle w:val="4"/>
              <w:rPr>
                <w:rFonts w:ascii="仿宋" w:hAnsi="仿宋" w:eastAsia="仿宋" w:cs="仿宋"/>
                <w:szCs w:val="21"/>
              </w:rPr>
            </w:pPr>
          </w:p>
          <w:p>
            <w:pPr>
              <w:pStyle w:val="4"/>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体育与健康</w:t>
            </w:r>
          </w:p>
        </w:tc>
        <w:tc>
          <w:tcPr>
            <w:tcW w:w="3282" w:type="dxa"/>
          </w:tcPr>
          <w:p>
            <w:pPr>
              <w:jc w:val="center"/>
              <w:rPr>
                <w:rFonts w:ascii="仿宋" w:hAnsi="仿宋" w:eastAsia="仿宋" w:cs="仿宋"/>
                <w:szCs w:val="21"/>
              </w:rPr>
            </w:pPr>
            <w:r>
              <w:rPr>
                <w:rFonts w:hint="eastAsia" w:ascii="仿宋" w:hAnsi="仿宋" w:eastAsia="仿宋" w:cs="仿宋"/>
                <w:sz w:val="21"/>
                <w:szCs w:val="21"/>
              </w:rPr>
              <w:t>体育与健康课程要落实立德树人的根本任务，以体育人，增强学生体质。通过学习本课程，学生能够喜爱并积极参与体育运动， 享受体育运动的乐趣;学会锻炼身体的科学方法掌握 1~2 项体育运动技能，提升体育运动能力</w:t>
            </w:r>
          </w:p>
        </w:tc>
        <w:tc>
          <w:tcPr>
            <w:tcW w:w="3203" w:type="dxa"/>
          </w:tcPr>
          <w:p>
            <w:pPr>
              <w:pStyle w:val="12"/>
              <w:spacing w:before="21" w:line="278" w:lineRule="auto"/>
              <w:ind w:left="111" w:right="94"/>
              <w:jc w:val="both"/>
              <w:rPr>
                <w:sz w:val="21"/>
                <w:szCs w:val="21"/>
              </w:rPr>
            </w:pPr>
            <w:r>
              <w:rPr>
                <w:rFonts w:hint="eastAsia" w:ascii="仿宋" w:hAnsi="仿宋" w:eastAsia="仿宋" w:cs="仿宋"/>
                <w:sz w:val="22"/>
                <w:szCs w:val="21"/>
                <w:lang w:val="zh-CN" w:eastAsia="zh-CN" w:bidi="zh-CN"/>
              </w:rPr>
              <w:t>依据《中等职业学校体育与健康教学指导纲要》开设，并与专业实际和行业发展密切结合。通过教学使学生的身体素质得到明显的提高，并且初步掌握科学锻炼身体的一些方法。培养学生吃苦耐劳、团结协作等优良品德，为他们以后的工作、生活打下坚实的基础</w:t>
            </w: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pStyle w:val="4"/>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艺术</w:t>
            </w:r>
          </w:p>
        </w:tc>
        <w:tc>
          <w:tcPr>
            <w:tcW w:w="3282" w:type="dxa"/>
          </w:tcPr>
          <w:p>
            <w:pPr>
              <w:jc w:val="center"/>
              <w:rPr>
                <w:rFonts w:ascii="仿宋" w:hAnsi="仿宋" w:eastAsia="仿宋" w:cs="仿宋"/>
                <w:szCs w:val="21"/>
              </w:rPr>
            </w:pPr>
            <w:r>
              <w:rPr>
                <w:rFonts w:hint="eastAsia" w:ascii="仿宋" w:hAnsi="仿宋" w:eastAsia="仿宋" w:cs="仿宋"/>
                <w:szCs w:val="21"/>
              </w:rPr>
              <w:t>培养学生艺术学科核心素养的重要载体。应加强课程研究，按照本课程标准，结合专业和学生特点，选择教学内容，制定教学目标采取有效的教学策略，帮助学生培育艺术学科核心素养，以提高教学质量</w:t>
            </w:r>
          </w:p>
        </w:tc>
        <w:tc>
          <w:tcPr>
            <w:tcW w:w="3203" w:type="dxa"/>
          </w:tcPr>
          <w:p>
            <w:pPr>
              <w:jc w:val="center"/>
              <w:rPr>
                <w:rFonts w:ascii="仿宋" w:hAnsi="仿宋" w:eastAsia="仿宋" w:cs="仿宋"/>
                <w:szCs w:val="21"/>
              </w:rPr>
            </w:pPr>
            <w:r>
              <w:rPr>
                <w:rFonts w:hint="eastAsia" w:ascii="仿宋" w:hAnsi="仿宋" w:eastAsia="仿宋" w:cs="仿宋"/>
                <w:szCs w:val="21"/>
              </w:rPr>
              <w:t>依据《中等职业学校公共艺术教学大纲》开设，并与专业实际和行业发展密切结合。通过学习，学生了解相关艺术学科的知识（包括音乐及美术等），培养学生初步掌握欣赏中外经典艺术作品的方法，提高学生艺术鉴赏能力，陶冶情操，增长智慧，拓宽认识</w:t>
            </w: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3</w:t>
            </w:r>
            <w:r>
              <w:rPr>
                <w:rFonts w:ascii="仿宋" w:hAnsi="仿宋" w:eastAsia="仿宋" w:cs="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历史</w:t>
            </w:r>
          </w:p>
        </w:tc>
        <w:tc>
          <w:tcPr>
            <w:tcW w:w="3282" w:type="dxa"/>
          </w:tcPr>
          <w:p>
            <w:pPr>
              <w:jc w:val="center"/>
              <w:rPr>
                <w:rFonts w:ascii="仿宋" w:hAnsi="仿宋" w:eastAsia="仿宋" w:cs="仿宋"/>
                <w:szCs w:val="21"/>
              </w:rPr>
            </w:pPr>
            <w:r>
              <w:rPr>
                <w:rFonts w:hint="eastAsia" w:ascii="仿宋" w:hAnsi="仿宋" w:eastAsia="仿宋" w:cs="仿宋"/>
                <w:szCs w:val="21"/>
              </w:rPr>
              <w:t>让学生了解唯物史观的基本观点与方法，包括生产力和生产关系之间的辩证关系人民群众在社会发展中的重要作用等，初步形成正确的历史观，并将唯物史观作为认识和解决现实问题的指导思想。让学生知道特定史事是与特定空间时间相联系，在认识现实社会或职业问题时，能将认识的对象置于具体的时空条件下进行考察。让学生知道史料是通向历史认识的桥梁， 能够以实证精神对待现实问题。让学生能够依据史诗与史料对史事表达自己的看法，能够实事求是地认识和评判现实社会与职业发展中的问题。让学生能够树立正确的国家观，增强对祖国的认同感，形成对中华民族的认同和正确的民族观， 铸牢中华民族共同体意识，使学生了解并认同中华优秀传统文化、革命文化、社会主义先进文化引导学生传承民族气节，崇尚英雄气概，拥护中国共产党的领导、认同社会主义核心价值观，树立中国特色社会主义道路自信、理论自信、制度自信、文化自信。</w:t>
            </w:r>
          </w:p>
        </w:tc>
        <w:tc>
          <w:tcPr>
            <w:tcW w:w="3203" w:type="dxa"/>
          </w:tcPr>
          <w:p>
            <w:pPr>
              <w:jc w:val="center"/>
              <w:rPr>
                <w:rFonts w:ascii="仿宋" w:hAnsi="仿宋" w:eastAsia="仿宋" w:cs="仿宋"/>
                <w:szCs w:val="21"/>
              </w:rPr>
            </w:pPr>
            <w:r>
              <w:rPr>
                <w:rFonts w:hint="eastAsia" w:ascii="仿宋" w:hAnsi="仿宋" w:eastAsia="仿宋" w:cs="仿宋"/>
                <w:szCs w:val="21"/>
              </w:rPr>
              <w:t>依据《中等职业学校历史教学大纲》开设， 并与专业实际和行业发展密切结合。通过历史教学，从历史的角度去认识人与人、人与社会、人与自然的关系，使学生了解人类社会的发展过程，从中提高人文素养，形成正确的世界观、人生观和价值观，从而更好地在德、智、体、美、劳等方面发展。通过历史教学，使学生继承和发扬中华民族的优秀文化传统，树立民族自尊心和自信心，具有建设中国特色的社会主义坚定信念和改革开放、振兴中华的使命感，逐步形成符合社会发展需要的公民意识和人文修养</w:t>
            </w:r>
          </w:p>
        </w:tc>
        <w:tc>
          <w:tcPr>
            <w:tcW w:w="697" w:type="dxa"/>
          </w:tcPr>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7</w:t>
            </w:r>
            <w:r>
              <w:rPr>
                <w:rFonts w:ascii="仿宋" w:hAnsi="仿宋" w:eastAsia="仿宋" w:cs="仿宋"/>
                <w:szCs w:val="21"/>
              </w:rPr>
              <w:t>2</w:t>
            </w:r>
          </w:p>
        </w:tc>
      </w:tr>
    </w:tbl>
    <w:p>
      <w:pPr>
        <w:spacing w:line="480" w:lineRule="exact"/>
        <w:ind w:firstLine="643" w:firstLineChars="200"/>
        <w:rPr>
          <w:rFonts w:ascii="楷体_GB2312" w:hAnsi="楷体_GB2312" w:eastAsia="楷体_GB2312"/>
          <w:sz w:val="32"/>
          <w:szCs w:val="32"/>
        </w:rPr>
      </w:pPr>
      <w:r>
        <w:rPr>
          <w:rFonts w:ascii="楷体_GB2312" w:hAnsi="楷体_GB2312" w:eastAsia="楷体_GB2312"/>
          <w:b/>
          <w:bCs/>
          <w:sz w:val="32"/>
          <w:szCs w:val="32"/>
        </w:rPr>
        <w:t>（二）专业</w:t>
      </w:r>
      <w:r>
        <w:rPr>
          <w:rFonts w:hint="eastAsia" w:ascii="楷体_GB2312" w:hAnsi="楷体_GB2312" w:eastAsia="楷体_GB2312"/>
          <w:b/>
          <w:bCs/>
          <w:sz w:val="32"/>
          <w:szCs w:val="32"/>
        </w:rPr>
        <w:t>核心</w:t>
      </w:r>
      <w:r>
        <w:rPr>
          <w:rFonts w:ascii="楷体_GB2312" w:hAnsi="楷体_GB2312" w:eastAsia="楷体_GB2312"/>
          <w:b/>
          <w:bCs/>
          <w:sz w:val="32"/>
          <w:szCs w:val="32"/>
        </w:rPr>
        <w:t>课程</w:t>
      </w:r>
    </w:p>
    <w:p>
      <w:pPr>
        <w:pStyle w:val="2"/>
        <w:tabs>
          <w:tab w:val="left" w:pos="1114"/>
        </w:tabs>
        <w:spacing w:line="497" w:lineRule="exact"/>
        <w:ind w:left="0" w:firstLine="0"/>
      </w:pPr>
      <w:bookmarkStart w:id="11" w:name="_GoBack"/>
      <w:bookmarkEnd w:id="11"/>
      <w:r>
        <mc:AlternateContent>
          <mc:Choice Requires="wps">
            <w:drawing>
              <wp:anchor distT="0" distB="0" distL="114300" distR="114300" simplePos="0" relativeHeight="251665408" behindDoc="1" locked="0" layoutInCell="1" allowOverlap="1">
                <wp:simplePos x="0" y="0"/>
                <wp:positionH relativeFrom="margin">
                  <wp:align>left</wp:align>
                </wp:positionH>
                <wp:positionV relativeFrom="paragraph">
                  <wp:posOffset>60960</wp:posOffset>
                </wp:positionV>
                <wp:extent cx="6305550" cy="8920480"/>
                <wp:effectExtent l="0" t="0" r="0" b="13970"/>
                <wp:wrapTight wrapText="bothSides">
                  <wp:wrapPolygon>
                    <wp:start x="0" y="0"/>
                    <wp:lineTo x="0" y="21588"/>
                    <wp:lineTo x="21535" y="21588"/>
                    <wp:lineTo x="21535" y="0"/>
                    <wp:lineTo x="0" y="0"/>
                  </wp:wrapPolygon>
                </wp:wrapTight>
                <wp:docPr id="5" name="文本框 5"/>
                <wp:cNvGraphicFramePr/>
                <a:graphic xmlns:a="http://schemas.openxmlformats.org/drawingml/2006/main">
                  <a:graphicData uri="http://schemas.microsoft.com/office/word/2010/wordprocessingShape">
                    <wps:wsp>
                      <wps:cNvSpPr txBox="1"/>
                      <wps:spPr>
                        <a:xfrm>
                          <a:off x="0" y="0"/>
                          <a:ext cx="6305550" cy="8920716"/>
                        </a:xfrm>
                        <a:prstGeom prst="rect">
                          <a:avLst/>
                        </a:prstGeom>
                        <a:noFill/>
                        <a:ln>
                          <a:noFill/>
                        </a:ln>
                      </wps:spPr>
                      <wps:txbx>
                        <w:txbxContent>
                          <w:tbl>
                            <w:tblPr>
                              <w:tblStyle w:val="7"/>
                              <w:tblW w:w="8526" w:type="dxa"/>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965"/>
                              <w:gridCol w:w="4293"/>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44" w:type="dxa"/>
                                </w:tcPr>
                                <w:p>
                                  <w:pPr>
                                    <w:pStyle w:val="12"/>
                                    <w:spacing w:before="25"/>
                                    <w:ind w:left="141" w:right="133"/>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序号</w:t>
                                  </w:r>
                                </w:p>
                              </w:tc>
                              <w:tc>
                                <w:tcPr>
                                  <w:tcW w:w="1965" w:type="dxa"/>
                                </w:tcPr>
                                <w:p>
                                  <w:pPr>
                                    <w:pStyle w:val="12"/>
                                    <w:spacing w:before="25"/>
                                    <w:ind w:left="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课程名称</w:t>
                                  </w:r>
                                </w:p>
                              </w:tc>
                              <w:tc>
                                <w:tcPr>
                                  <w:tcW w:w="4293" w:type="dxa"/>
                                </w:tcPr>
                                <w:p>
                                  <w:pPr>
                                    <w:pStyle w:val="12"/>
                                    <w:spacing w:before="25"/>
                                    <w:ind w:left="119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主要教学内容和要求</w:t>
                                  </w:r>
                                </w:p>
                              </w:tc>
                              <w:tc>
                                <w:tcPr>
                                  <w:tcW w:w="1524" w:type="dxa"/>
                                </w:tcPr>
                                <w:p>
                                  <w:pPr>
                                    <w:pStyle w:val="12"/>
                                    <w:spacing w:before="25"/>
                                    <w:ind w:left="319" w:right="311"/>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atLeast"/>
                              </w:trPr>
                              <w:tc>
                                <w:tcPr>
                                  <w:tcW w:w="744"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8"/>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1</w:t>
                                  </w:r>
                                </w:p>
                              </w:tc>
                              <w:tc>
                                <w:tcPr>
                                  <w:tcW w:w="1965"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8"/>
                                    <w:rPr>
                                      <w:rFonts w:hint="eastAsia" w:ascii="仿宋" w:hAnsi="仿宋" w:eastAsia="仿宋" w:cs="仿宋"/>
                                      <w:kern w:val="2"/>
                                      <w:sz w:val="21"/>
                                      <w:szCs w:val="21"/>
                                      <w:lang w:val="en-US" w:eastAsia="zh-CN" w:bidi="ar-SA"/>
                                    </w:rPr>
                                  </w:pPr>
                                </w:p>
                                <w:p>
                                  <w:pPr>
                                    <w:pStyle w:val="12"/>
                                    <w:ind w:left="7"/>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基础会计</w:t>
                                  </w:r>
                                </w:p>
                              </w:tc>
                              <w:tc>
                                <w:tcPr>
                                  <w:tcW w:w="4293" w:type="dxa"/>
                                </w:tcPr>
                                <w:p>
                                  <w:pPr>
                                    <w:pStyle w:val="12"/>
                                    <w:spacing w:before="21" w:line="278" w:lineRule="auto"/>
                                    <w:ind w:left="111" w:right="-15"/>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《基础会计》课程是会计事务专业必修的专业核心课, 通过本课程的教学,使学生掌握会计基础知识和各要素（资产、负债、所有者权益、收入、费用、利润）的概念，以及对各会计科目进行分类的相关知识；对会计事务的业务流程有一个基本而清晰的认识；熟悉财经名词、会计账簿、购销存的业务处理、投资、筹资、分配的相关知识； 能够初步具备运用所学会计知识完成会计分录制作、记账凭证制作、登记账簿、制作报表等基础知识。</w:t>
                                  </w:r>
                                </w:p>
                              </w:tc>
                              <w:tc>
                                <w:tcPr>
                                  <w:tcW w:w="1524"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12"/>
                                    <w:rPr>
                                      <w:rFonts w:hint="eastAsia" w:ascii="仿宋" w:hAnsi="仿宋" w:eastAsia="仿宋" w:cs="仿宋"/>
                                      <w:kern w:val="2"/>
                                      <w:sz w:val="21"/>
                                      <w:szCs w:val="21"/>
                                      <w:lang w:val="en-US" w:eastAsia="zh-CN" w:bidi="ar-SA"/>
                                    </w:rPr>
                                  </w:pPr>
                                </w:p>
                                <w:p>
                                  <w:pPr>
                                    <w:pStyle w:val="12"/>
                                    <w:ind w:left="319" w:right="308"/>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0" w:hRule="atLeast"/>
                              </w:trPr>
                              <w:tc>
                                <w:tcPr>
                                  <w:tcW w:w="744" w:type="dxa"/>
                                </w:tcPr>
                                <w:p>
                                  <w:pPr>
                                    <w:pStyle w:val="12"/>
                                    <w:rPr>
                                      <w:rFonts w:hint="eastAsia" w:ascii="仿宋" w:hAnsi="仿宋" w:eastAsia="仿宋" w:cs="仿宋"/>
                                      <w:kern w:val="2"/>
                                      <w:sz w:val="21"/>
                                      <w:szCs w:val="21"/>
                                      <w:lang w:val="zh-CN" w:eastAsia="zh-CN" w:bidi="ar-SA"/>
                                    </w:rPr>
                                  </w:pPr>
                                </w:p>
                                <w:p>
                                  <w:pPr>
                                    <w:pStyle w:val="12"/>
                                    <w:rPr>
                                      <w:rFonts w:hint="eastAsia" w:ascii="仿宋" w:hAnsi="仿宋" w:eastAsia="仿宋" w:cs="仿宋"/>
                                      <w:kern w:val="2"/>
                                      <w:sz w:val="21"/>
                                      <w:szCs w:val="21"/>
                                      <w:lang w:val="zh-CN" w:eastAsia="zh-CN" w:bidi="ar-SA"/>
                                    </w:rPr>
                                  </w:pPr>
                                </w:p>
                                <w:p>
                                  <w:pPr>
                                    <w:pStyle w:val="12"/>
                                    <w:spacing w:before="4"/>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2</w:t>
                                  </w:r>
                                </w:p>
                              </w:tc>
                              <w:tc>
                                <w:tcPr>
                                  <w:tcW w:w="1965"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4"/>
                                    <w:rPr>
                                      <w:rFonts w:hint="eastAsia" w:ascii="仿宋" w:hAnsi="仿宋" w:eastAsia="仿宋" w:cs="仿宋"/>
                                      <w:kern w:val="2"/>
                                      <w:sz w:val="21"/>
                                      <w:szCs w:val="21"/>
                                      <w:lang w:val="en-US" w:eastAsia="zh-CN" w:bidi="ar-SA"/>
                                    </w:rPr>
                                  </w:pPr>
                                </w:p>
                                <w:p>
                                  <w:pPr>
                                    <w:pStyle w:val="12"/>
                                    <w:ind w:left="11"/>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财务会计</w:t>
                                  </w:r>
                                </w:p>
                              </w:tc>
                              <w:tc>
                                <w:tcPr>
                                  <w:tcW w:w="4293" w:type="dxa"/>
                                </w:tcPr>
                                <w:p>
                                  <w:pPr>
                                    <w:pStyle w:val="12"/>
                                    <w:spacing w:before="25" w:line="278" w:lineRule="auto"/>
                                    <w:ind w:left="111"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 xml:space="preserve">《财务会计》课程是会计事务专业必修的专业核心课，通过本课程的学习， 使学生更深入的了解会计业务。从汇票、本票、支票等支付方式的使用、到固定资产折旧处理的具体计算方法，再到坏账的计提与处理，全面深化学生在财务领域的专业理解。 </w:t>
                                  </w:r>
                                </w:p>
                              </w:tc>
                              <w:tc>
                                <w:tcPr>
                                  <w:tcW w:w="1524"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8"/>
                                    <w:rPr>
                                      <w:rFonts w:hint="eastAsia" w:ascii="仿宋" w:hAnsi="仿宋" w:eastAsia="仿宋" w:cs="仿宋"/>
                                      <w:kern w:val="2"/>
                                      <w:sz w:val="21"/>
                                      <w:szCs w:val="21"/>
                                      <w:lang w:val="en-US" w:eastAsia="zh-CN" w:bidi="ar-SA"/>
                                    </w:rPr>
                                  </w:pPr>
                                </w:p>
                                <w:p>
                                  <w:pPr>
                                    <w:pStyle w:val="12"/>
                                    <w:ind w:left="319" w:right="31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2" w:hRule="atLeast"/>
                              </w:trPr>
                              <w:tc>
                                <w:tcPr>
                                  <w:tcW w:w="744" w:type="dxa"/>
                                </w:tcPr>
                                <w:p>
                                  <w:pPr>
                                    <w:pStyle w:val="12"/>
                                    <w:rPr>
                                      <w:rFonts w:hint="eastAsia" w:ascii="仿宋" w:hAnsi="仿宋" w:eastAsia="仿宋" w:cs="仿宋"/>
                                      <w:kern w:val="2"/>
                                      <w:sz w:val="21"/>
                                      <w:szCs w:val="21"/>
                                      <w:lang w:val="zh-CN" w:eastAsia="zh-CN" w:bidi="ar-SA"/>
                                    </w:rPr>
                                  </w:pPr>
                                </w:p>
                                <w:p>
                                  <w:pPr>
                                    <w:pStyle w:val="12"/>
                                    <w:rPr>
                                      <w:rFonts w:hint="eastAsia" w:ascii="仿宋" w:hAnsi="仿宋" w:eastAsia="仿宋" w:cs="仿宋"/>
                                      <w:kern w:val="2"/>
                                      <w:sz w:val="21"/>
                                      <w:szCs w:val="21"/>
                                      <w:lang w:val="zh-CN" w:eastAsia="zh-CN" w:bidi="ar-SA"/>
                                    </w:rPr>
                                  </w:pPr>
                                </w:p>
                                <w:p>
                                  <w:pPr>
                                    <w:pStyle w:val="12"/>
                                    <w:spacing w:before="8"/>
                                    <w:rPr>
                                      <w:rFonts w:hint="eastAsia" w:ascii="仿宋" w:hAnsi="仿宋" w:eastAsia="仿宋" w:cs="仿宋"/>
                                      <w:kern w:val="2"/>
                                      <w:sz w:val="21"/>
                                      <w:szCs w:val="21"/>
                                      <w:lang w:val="zh-CN" w:eastAsia="zh-CN" w:bidi="ar-SA"/>
                                    </w:rPr>
                                  </w:pPr>
                                </w:p>
                                <w:p>
                                  <w:pPr>
                                    <w:pStyle w:val="12"/>
                                    <w:spacing w:before="1"/>
                                    <w:ind w:left="10"/>
                                    <w:jc w:val="center"/>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3</w:t>
                                  </w:r>
                                </w:p>
                              </w:tc>
                              <w:tc>
                                <w:tcPr>
                                  <w:tcW w:w="1965"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8"/>
                                    <w:rPr>
                                      <w:rFonts w:hint="eastAsia" w:ascii="仿宋" w:hAnsi="仿宋" w:eastAsia="仿宋" w:cs="仿宋"/>
                                      <w:kern w:val="2"/>
                                      <w:sz w:val="21"/>
                                      <w:szCs w:val="21"/>
                                      <w:lang w:val="en-US" w:eastAsia="zh-CN" w:bidi="ar-SA"/>
                                    </w:rPr>
                                  </w:pPr>
                                </w:p>
                                <w:p>
                                  <w:pPr>
                                    <w:pStyle w:val="12"/>
                                    <w:spacing w:before="1"/>
                                    <w:ind w:left="11"/>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税收基础</w:t>
                                  </w:r>
                                </w:p>
                              </w:tc>
                              <w:tc>
                                <w:tcPr>
                                  <w:tcW w:w="4293" w:type="dxa"/>
                                </w:tcPr>
                                <w:p>
                                  <w:pPr>
                                    <w:pStyle w:val="12"/>
                                    <w:spacing w:before="21" w:line="278" w:lineRule="auto"/>
                                    <w:ind w:left="111"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w:t>
                                  </w:r>
                                  <w:r>
                                    <w:rPr>
                                      <w:rFonts w:hint="eastAsia" w:ascii="仿宋" w:hAnsi="仿宋" w:eastAsia="仿宋" w:cs="仿宋"/>
                                      <w:kern w:val="2"/>
                                      <w:sz w:val="21"/>
                                      <w:szCs w:val="21"/>
                                      <w:lang w:val="en-US" w:eastAsia="zh-CN" w:bidi="ar-SA"/>
                                    </w:rPr>
                                    <w:t>税收</w:t>
                                  </w:r>
                                  <w:r>
                                    <w:rPr>
                                      <w:rFonts w:hint="eastAsia" w:ascii="仿宋" w:hAnsi="仿宋" w:eastAsia="仿宋" w:cs="仿宋"/>
                                      <w:kern w:val="2"/>
                                      <w:sz w:val="21"/>
                                      <w:szCs w:val="21"/>
                                      <w:lang w:val="zh-CN" w:eastAsia="zh-CN" w:bidi="ar-SA"/>
                                    </w:rPr>
                                    <w:t>基础》课程是会计事务必修课程；通过本课程的教学， 使学生掌握基本的税务知识，包括计税、报税、纳税等环节的流程。使学生了解增值税、所得税、消费税等税种的税收原理、税率和计算方法。使学生掌握大类税种的基本计算方式和分录制作方式。</w:t>
                                  </w:r>
                                </w:p>
                              </w:tc>
                              <w:tc>
                                <w:tcPr>
                                  <w:tcW w:w="1524"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12"/>
                                    <w:rPr>
                                      <w:rFonts w:hint="eastAsia" w:ascii="仿宋" w:hAnsi="仿宋" w:eastAsia="仿宋" w:cs="仿宋"/>
                                      <w:kern w:val="2"/>
                                      <w:sz w:val="21"/>
                                      <w:szCs w:val="21"/>
                                      <w:lang w:val="en-US" w:eastAsia="zh-CN" w:bidi="ar-SA"/>
                                    </w:rPr>
                                  </w:pPr>
                                </w:p>
                                <w:p>
                                  <w:pPr>
                                    <w:pStyle w:val="12"/>
                                    <w:spacing w:before="1"/>
                                    <w:ind w:left="319" w:right="310"/>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744" w:type="dxa"/>
                                </w:tcPr>
                                <w:p>
                                  <w:pPr>
                                    <w:pStyle w:val="12"/>
                                    <w:spacing w:before="6"/>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4</w:t>
                                  </w:r>
                                </w:p>
                              </w:tc>
                              <w:tc>
                                <w:tcPr>
                                  <w:tcW w:w="1965" w:type="dxa"/>
                                </w:tcPr>
                                <w:p>
                                  <w:pPr>
                                    <w:pStyle w:val="12"/>
                                    <w:spacing w:before="6"/>
                                    <w:rPr>
                                      <w:rFonts w:hint="eastAsia" w:ascii="仿宋" w:hAnsi="仿宋" w:eastAsia="仿宋" w:cs="仿宋"/>
                                      <w:kern w:val="2"/>
                                      <w:sz w:val="21"/>
                                      <w:szCs w:val="21"/>
                                      <w:lang w:val="en-US" w:eastAsia="zh-CN" w:bidi="ar-SA"/>
                                    </w:rPr>
                                  </w:pPr>
                                </w:p>
                                <w:p>
                                  <w:pPr>
                                    <w:pStyle w:val="12"/>
                                    <w:ind w:left="11"/>
                                    <w:jc w:val="center"/>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ind w:left="11"/>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成本会计</w:t>
                                  </w:r>
                                </w:p>
                              </w:tc>
                              <w:tc>
                                <w:tcPr>
                                  <w:tcW w:w="4293" w:type="dxa"/>
                                </w:tcPr>
                                <w:p>
                                  <w:pPr>
                                    <w:pStyle w:val="12"/>
                                    <w:spacing w:before="25" w:line="278" w:lineRule="auto"/>
                                    <w:ind w:left="111" w:right="94"/>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成本会计》课程是会计事务专业必修的专业课，通过本课程的教学,使学生了解和掌握基本的成本计算、分摊方法，使学生掌握不同情境下、不同成本管理制度之下成本计算方法的使用。以及了解成本会计工作的业务流程和使用的各种工具。</w:t>
                                  </w:r>
                                </w:p>
                              </w:tc>
                              <w:tc>
                                <w:tcPr>
                                  <w:tcW w:w="1524" w:type="dxa"/>
                                </w:tcPr>
                                <w:p>
                                  <w:pPr>
                                    <w:pStyle w:val="12"/>
                                    <w:spacing w:before="10"/>
                                    <w:rPr>
                                      <w:rFonts w:hint="eastAsia" w:ascii="仿宋" w:hAnsi="仿宋" w:eastAsia="仿宋" w:cs="仿宋"/>
                                      <w:kern w:val="2"/>
                                      <w:sz w:val="21"/>
                                      <w:szCs w:val="21"/>
                                      <w:lang w:val="en-US" w:eastAsia="zh-CN" w:bidi="ar-SA"/>
                                    </w:rPr>
                                  </w:pPr>
                                </w:p>
                                <w:p>
                                  <w:pPr>
                                    <w:pStyle w:val="12"/>
                                    <w:ind w:left="319" w:right="309"/>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744" w:type="dxa"/>
                                </w:tcPr>
                                <w:p>
                                  <w:pPr>
                                    <w:pStyle w:val="12"/>
                                    <w:spacing w:before="6"/>
                                    <w:rPr>
                                      <w:rFonts w:hint="eastAsia" w:ascii="仿宋" w:hAnsi="仿宋" w:eastAsia="仿宋" w:cs="仿宋"/>
                                      <w:kern w:val="2"/>
                                      <w:sz w:val="21"/>
                                      <w:szCs w:val="21"/>
                                      <w:lang w:val="zh-CN" w:eastAsia="zh-CN" w:bidi="ar-SA"/>
                                    </w:rPr>
                                  </w:pPr>
                                </w:p>
                                <w:p>
                                  <w:pPr>
                                    <w:pStyle w:val="12"/>
                                    <w:spacing w:before="6"/>
                                    <w:rPr>
                                      <w:rFonts w:hint="eastAsia" w:ascii="仿宋" w:hAnsi="仿宋" w:eastAsia="仿宋" w:cs="仿宋"/>
                                      <w:kern w:val="2"/>
                                      <w:sz w:val="21"/>
                                      <w:szCs w:val="21"/>
                                      <w:lang w:val="zh-CN" w:eastAsia="zh-CN" w:bidi="ar-SA"/>
                                    </w:rPr>
                                  </w:pPr>
                                </w:p>
                                <w:p>
                                  <w:pPr>
                                    <w:pStyle w:val="12"/>
                                    <w:spacing w:before="6"/>
                                    <w:rPr>
                                      <w:rFonts w:hint="eastAsia" w:ascii="仿宋" w:hAnsi="仿宋" w:eastAsia="仿宋" w:cs="仿宋"/>
                                      <w:kern w:val="2"/>
                                      <w:sz w:val="21"/>
                                      <w:szCs w:val="21"/>
                                      <w:lang w:val="zh-CN" w:eastAsia="zh-CN" w:bidi="ar-SA"/>
                                    </w:rPr>
                                  </w:pPr>
                                </w:p>
                                <w:p>
                                  <w:pPr>
                                    <w:pStyle w:val="12"/>
                                    <w:spacing w:before="6"/>
                                    <w:jc w:val="center"/>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5</w:t>
                                  </w:r>
                                </w:p>
                                <w:p>
                                  <w:pPr>
                                    <w:pStyle w:val="12"/>
                                    <w:spacing w:before="6"/>
                                    <w:rPr>
                                      <w:rFonts w:hint="eastAsia" w:ascii="仿宋" w:hAnsi="仿宋" w:eastAsia="仿宋" w:cs="仿宋"/>
                                      <w:kern w:val="2"/>
                                      <w:sz w:val="21"/>
                                      <w:szCs w:val="21"/>
                                      <w:lang w:val="zh-CN" w:eastAsia="zh-CN" w:bidi="ar-SA"/>
                                    </w:rPr>
                                  </w:pPr>
                                </w:p>
                              </w:tc>
                              <w:tc>
                                <w:tcPr>
                                  <w:tcW w:w="1965" w:type="dxa"/>
                                </w:tcPr>
                                <w:p>
                                  <w:pPr>
                                    <w:pStyle w:val="12"/>
                                    <w:spacing w:before="6"/>
                                    <w:rPr>
                                      <w:rFonts w:hint="eastAsia" w:ascii="仿宋" w:hAnsi="仿宋" w:eastAsia="仿宋" w:cs="仿宋"/>
                                      <w:kern w:val="2"/>
                                      <w:sz w:val="21"/>
                                      <w:szCs w:val="21"/>
                                      <w:lang w:val="en-US" w:eastAsia="zh-CN" w:bidi="ar-SA"/>
                                    </w:rPr>
                                  </w:pPr>
                                </w:p>
                                <w:p>
                                  <w:pPr>
                                    <w:pStyle w:val="12"/>
                                    <w:spacing w:before="6"/>
                                    <w:rPr>
                                      <w:rFonts w:hint="eastAsia" w:ascii="仿宋" w:hAnsi="仿宋" w:eastAsia="仿宋" w:cs="仿宋"/>
                                      <w:kern w:val="2"/>
                                      <w:sz w:val="21"/>
                                      <w:szCs w:val="21"/>
                                      <w:lang w:val="en-US" w:eastAsia="zh-CN" w:bidi="ar-SA"/>
                                    </w:rPr>
                                  </w:pPr>
                                </w:p>
                                <w:p>
                                  <w:pPr>
                                    <w:pStyle w:val="12"/>
                                    <w:spacing w:before="6"/>
                                    <w:rPr>
                                      <w:rFonts w:hint="eastAsia" w:ascii="仿宋" w:hAnsi="仿宋" w:eastAsia="仿宋" w:cs="仿宋"/>
                                      <w:kern w:val="2"/>
                                      <w:sz w:val="21"/>
                                      <w:szCs w:val="21"/>
                                      <w:lang w:val="en-US" w:eastAsia="zh-CN" w:bidi="ar-SA"/>
                                    </w:rPr>
                                  </w:pPr>
                                </w:p>
                                <w:p>
                                  <w:pPr>
                                    <w:pStyle w:val="12"/>
                                    <w:spacing w:before="6"/>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书法</w:t>
                                  </w:r>
                                </w:p>
                              </w:tc>
                              <w:tc>
                                <w:tcPr>
                                  <w:tcW w:w="4293" w:type="dxa"/>
                                </w:tcPr>
                                <w:p>
                                  <w:pPr>
                                    <w:pStyle w:val="12"/>
                                    <w:spacing w:before="25" w:line="278" w:lineRule="auto"/>
                                    <w:ind w:left="111" w:right="94"/>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《书法》课程是会计事务专业必修的课程，通过本课程的教学，学生掌握书法的基本书写技巧，提高字体美观性，提高个人的修养，传承优秀的中国传统文化。</w:t>
                                  </w:r>
                                </w:p>
                              </w:tc>
                              <w:tc>
                                <w:tcPr>
                                  <w:tcW w:w="1524" w:type="dxa"/>
                                </w:tcPr>
                                <w:p>
                                  <w:pPr>
                                    <w:pStyle w:val="12"/>
                                    <w:spacing w:before="10"/>
                                    <w:jc w:val="center"/>
                                    <w:rPr>
                                      <w:rFonts w:hint="eastAsia" w:ascii="仿宋" w:hAnsi="仿宋" w:eastAsia="仿宋" w:cs="仿宋"/>
                                      <w:kern w:val="2"/>
                                      <w:sz w:val="21"/>
                                      <w:szCs w:val="21"/>
                                      <w:lang w:val="en-US" w:eastAsia="zh-CN" w:bidi="ar-SA"/>
                                    </w:rPr>
                                  </w:pPr>
                                </w:p>
                                <w:p>
                                  <w:pPr>
                                    <w:pStyle w:val="12"/>
                                    <w:spacing w:before="10"/>
                                    <w:jc w:val="center"/>
                                    <w:rPr>
                                      <w:rFonts w:hint="eastAsia" w:ascii="仿宋" w:hAnsi="仿宋" w:eastAsia="仿宋" w:cs="仿宋"/>
                                      <w:kern w:val="2"/>
                                      <w:sz w:val="21"/>
                                      <w:szCs w:val="21"/>
                                      <w:lang w:val="en-US" w:eastAsia="zh-CN" w:bidi="ar-SA"/>
                                    </w:rPr>
                                  </w:pPr>
                                </w:p>
                                <w:p>
                                  <w:pPr>
                                    <w:pStyle w:val="12"/>
                                    <w:spacing w:before="10"/>
                                    <w:jc w:val="center"/>
                                    <w:rPr>
                                      <w:rFonts w:hint="eastAsia" w:ascii="仿宋" w:hAnsi="仿宋" w:eastAsia="仿宋" w:cs="仿宋"/>
                                      <w:kern w:val="2"/>
                                      <w:sz w:val="21"/>
                                      <w:szCs w:val="21"/>
                                      <w:lang w:val="en-US" w:eastAsia="zh-CN" w:bidi="ar-SA"/>
                                    </w:rPr>
                                  </w:pPr>
                                </w:p>
                                <w:p>
                                  <w:pPr>
                                    <w:pStyle w:val="12"/>
                                    <w:spacing w:before="1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36</w:t>
                                  </w:r>
                                </w:p>
                              </w:tc>
                            </w:tr>
                          </w:tbl>
                          <w:p>
                            <w:pPr>
                              <w:pStyle w:val="3"/>
                              <w:rPr>
                                <w:rFonts w:hint="eastAsia" w:ascii="仿宋" w:hAnsi="仿宋" w:eastAsia="仿宋" w:cs="仿宋"/>
                                <w:kern w:val="2"/>
                                <w:sz w:val="21"/>
                                <w:szCs w:val="21"/>
                                <w:lang w:val="en-US" w:eastAsia="zh-CN" w:bidi="ar-SA"/>
                              </w:rPr>
                            </w:pPr>
                          </w:p>
                        </w:txbxContent>
                      </wps:txbx>
                      <wps:bodyPr wrap="square" lIns="0" tIns="0" rIns="0" bIns="0" upright="1">
                        <a:noAutofit/>
                      </wps:bodyPr>
                    </wps:wsp>
                  </a:graphicData>
                </a:graphic>
              </wp:anchor>
            </w:drawing>
          </mc:Choice>
          <mc:Fallback>
            <w:pict>
              <v:shape id="_x0000_s1026" o:spid="_x0000_s1026" o:spt="202" type="#_x0000_t202" style="position:absolute;left:0pt;margin-top:4.8pt;height:702.4pt;width:496.5pt;mso-position-horizontal:left;mso-position-horizontal-relative:margin;mso-wrap-distance-left:9pt;mso-wrap-distance-right:9pt;z-index:-251651072;mso-width-relative:page;mso-height-relative:page;" filled="f" stroked="f" coordsize="21600,21600" wrapcoords="0 0 0 21588 21535 21588 21535 0 0 0" o:gfxdata="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PF419UAAAAHAQAADwAAAAAAAAABACAAAAAiAAAA&#10;ZHJzL2Rvd25yZXYueG1sUEsBAhQAFAAAAAgAh07iQOFw3qnRAQAAmwMAAA4AAAAAAAAAAQAgAAAA&#10;JAEAAGRycy9lMm9Eb2MueG1sUEsFBgAAAAAGAAYAWQEAAGcFAAAAAA==&#10;">
                <v:fill on="f" focussize="0,0"/>
                <v:stroke on="f"/>
                <v:imagedata o:title=""/>
                <o:lock v:ext="edit" aspectratio="f"/>
                <v:textbox inset="0mm,0mm,0mm,0mm">
                  <w:txbxContent>
                    <w:tbl>
                      <w:tblPr>
                        <w:tblStyle w:val="7"/>
                        <w:tblW w:w="8526" w:type="dxa"/>
                        <w:tblInd w:w="7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965"/>
                        <w:gridCol w:w="4293"/>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744" w:type="dxa"/>
                          </w:tcPr>
                          <w:p>
                            <w:pPr>
                              <w:pStyle w:val="12"/>
                              <w:spacing w:before="25"/>
                              <w:ind w:left="141" w:right="133"/>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序号</w:t>
                            </w:r>
                          </w:p>
                        </w:tc>
                        <w:tc>
                          <w:tcPr>
                            <w:tcW w:w="1965" w:type="dxa"/>
                          </w:tcPr>
                          <w:p>
                            <w:pPr>
                              <w:pStyle w:val="12"/>
                              <w:spacing w:before="25"/>
                              <w:ind w:left="4"/>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课程名称</w:t>
                            </w:r>
                          </w:p>
                        </w:tc>
                        <w:tc>
                          <w:tcPr>
                            <w:tcW w:w="4293" w:type="dxa"/>
                          </w:tcPr>
                          <w:p>
                            <w:pPr>
                              <w:pStyle w:val="12"/>
                              <w:spacing w:before="25"/>
                              <w:ind w:left="1199"/>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主要教学内容和要求</w:t>
                            </w:r>
                          </w:p>
                        </w:tc>
                        <w:tc>
                          <w:tcPr>
                            <w:tcW w:w="1524" w:type="dxa"/>
                          </w:tcPr>
                          <w:p>
                            <w:pPr>
                              <w:pStyle w:val="12"/>
                              <w:spacing w:before="25"/>
                              <w:ind w:left="319" w:right="311"/>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6" w:hRule="atLeast"/>
                        </w:trPr>
                        <w:tc>
                          <w:tcPr>
                            <w:tcW w:w="744"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8"/>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1</w:t>
                            </w:r>
                          </w:p>
                        </w:tc>
                        <w:tc>
                          <w:tcPr>
                            <w:tcW w:w="1965"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8"/>
                              <w:rPr>
                                <w:rFonts w:hint="eastAsia" w:ascii="仿宋" w:hAnsi="仿宋" w:eastAsia="仿宋" w:cs="仿宋"/>
                                <w:kern w:val="2"/>
                                <w:sz w:val="21"/>
                                <w:szCs w:val="21"/>
                                <w:lang w:val="en-US" w:eastAsia="zh-CN" w:bidi="ar-SA"/>
                              </w:rPr>
                            </w:pPr>
                          </w:p>
                          <w:p>
                            <w:pPr>
                              <w:pStyle w:val="12"/>
                              <w:ind w:left="7"/>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基础会计</w:t>
                            </w:r>
                          </w:p>
                        </w:tc>
                        <w:tc>
                          <w:tcPr>
                            <w:tcW w:w="4293" w:type="dxa"/>
                          </w:tcPr>
                          <w:p>
                            <w:pPr>
                              <w:pStyle w:val="12"/>
                              <w:spacing w:before="21" w:line="278" w:lineRule="auto"/>
                              <w:ind w:left="111" w:right="-15"/>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《基础会计》课程是会计事务专业必修的专业核心课, 通过本课程的教学,使学生掌握会计基础知识和各要素（资产、负债、所有者权益、收入、费用、利润）的概念，以及对各会计科目进行分类的相关知识；对会计事务的业务流程有一个基本而清晰的认识；熟悉财经名词、会计账簿、购销存的业务处理、投资、筹资、分配的相关知识； 能够初步具备运用所学会计知识完成会计分录制作、记账凭证制作、登记账簿、制作报表等基础知识。</w:t>
                            </w:r>
                          </w:p>
                        </w:tc>
                        <w:tc>
                          <w:tcPr>
                            <w:tcW w:w="1524"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12"/>
                              <w:rPr>
                                <w:rFonts w:hint="eastAsia" w:ascii="仿宋" w:hAnsi="仿宋" w:eastAsia="仿宋" w:cs="仿宋"/>
                                <w:kern w:val="2"/>
                                <w:sz w:val="21"/>
                                <w:szCs w:val="21"/>
                                <w:lang w:val="en-US" w:eastAsia="zh-CN" w:bidi="ar-SA"/>
                              </w:rPr>
                            </w:pPr>
                          </w:p>
                          <w:p>
                            <w:pPr>
                              <w:pStyle w:val="12"/>
                              <w:ind w:left="319" w:right="308"/>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288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0" w:hRule="atLeast"/>
                        </w:trPr>
                        <w:tc>
                          <w:tcPr>
                            <w:tcW w:w="744" w:type="dxa"/>
                          </w:tcPr>
                          <w:p>
                            <w:pPr>
                              <w:pStyle w:val="12"/>
                              <w:rPr>
                                <w:rFonts w:hint="eastAsia" w:ascii="仿宋" w:hAnsi="仿宋" w:eastAsia="仿宋" w:cs="仿宋"/>
                                <w:kern w:val="2"/>
                                <w:sz w:val="21"/>
                                <w:szCs w:val="21"/>
                                <w:lang w:val="zh-CN" w:eastAsia="zh-CN" w:bidi="ar-SA"/>
                              </w:rPr>
                            </w:pPr>
                          </w:p>
                          <w:p>
                            <w:pPr>
                              <w:pStyle w:val="12"/>
                              <w:rPr>
                                <w:rFonts w:hint="eastAsia" w:ascii="仿宋" w:hAnsi="仿宋" w:eastAsia="仿宋" w:cs="仿宋"/>
                                <w:kern w:val="2"/>
                                <w:sz w:val="21"/>
                                <w:szCs w:val="21"/>
                                <w:lang w:val="zh-CN" w:eastAsia="zh-CN" w:bidi="ar-SA"/>
                              </w:rPr>
                            </w:pPr>
                          </w:p>
                          <w:p>
                            <w:pPr>
                              <w:pStyle w:val="12"/>
                              <w:spacing w:before="4"/>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2</w:t>
                            </w:r>
                          </w:p>
                        </w:tc>
                        <w:tc>
                          <w:tcPr>
                            <w:tcW w:w="1965"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4"/>
                              <w:rPr>
                                <w:rFonts w:hint="eastAsia" w:ascii="仿宋" w:hAnsi="仿宋" w:eastAsia="仿宋" w:cs="仿宋"/>
                                <w:kern w:val="2"/>
                                <w:sz w:val="21"/>
                                <w:szCs w:val="21"/>
                                <w:lang w:val="en-US" w:eastAsia="zh-CN" w:bidi="ar-SA"/>
                              </w:rPr>
                            </w:pPr>
                          </w:p>
                          <w:p>
                            <w:pPr>
                              <w:pStyle w:val="12"/>
                              <w:ind w:left="11"/>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财务会计</w:t>
                            </w:r>
                          </w:p>
                        </w:tc>
                        <w:tc>
                          <w:tcPr>
                            <w:tcW w:w="4293" w:type="dxa"/>
                          </w:tcPr>
                          <w:p>
                            <w:pPr>
                              <w:pStyle w:val="12"/>
                              <w:spacing w:before="25" w:line="278" w:lineRule="auto"/>
                              <w:ind w:left="111"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 xml:space="preserve">《财务会计》课程是会计事务专业必修的专业核心课，通过本课程的学习， 使学生更深入的了解会计业务。从汇票、本票、支票等支付方式的使用、到固定资产折旧处理的具体计算方法，再到坏账的计提与处理，全面深化学生在财务领域的专业理解。 </w:t>
                            </w:r>
                          </w:p>
                        </w:tc>
                        <w:tc>
                          <w:tcPr>
                            <w:tcW w:w="1524"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8"/>
                              <w:rPr>
                                <w:rFonts w:hint="eastAsia" w:ascii="仿宋" w:hAnsi="仿宋" w:eastAsia="仿宋" w:cs="仿宋"/>
                                <w:kern w:val="2"/>
                                <w:sz w:val="21"/>
                                <w:szCs w:val="21"/>
                                <w:lang w:val="en-US" w:eastAsia="zh-CN" w:bidi="ar-SA"/>
                              </w:rPr>
                            </w:pPr>
                          </w:p>
                          <w:p>
                            <w:pPr>
                              <w:pStyle w:val="12"/>
                              <w:ind w:left="319" w:right="31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2" w:hRule="atLeast"/>
                        </w:trPr>
                        <w:tc>
                          <w:tcPr>
                            <w:tcW w:w="744" w:type="dxa"/>
                          </w:tcPr>
                          <w:p>
                            <w:pPr>
                              <w:pStyle w:val="12"/>
                              <w:rPr>
                                <w:rFonts w:hint="eastAsia" w:ascii="仿宋" w:hAnsi="仿宋" w:eastAsia="仿宋" w:cs="仿宋"/>
                                <w:kern w:val="2"/>
                                <w:sz w:val="21"/>
                                <w:szCs w:val="21"/>
                                <w:lang w:val="zh-CN" w:eastAsia="zh-CN" w:bidi="ar-SA"/>
                              </w:rPr>
                            </w:pPr>
                          </w:p>
                          <w:p>
                            <w:pPr>
                              <w:pStyle w:val="12"/>
                              <w:rPr>
                                <w:rFonts w:hint="eastAsia" w:ascii="仿宋" w:hAnsi="仿宋" w:eastAsia="仿宋" w:cs="仿宋"/>
                                <w:kern w:val="2"/>
                                <w:sz w:val="21"/>
                                <w:szCs w:val="21"/>
                                <w:lang w:val="zh-CN" w:eastAsia="zh-CN" w:bidi="ar-SA"/>
                              </w:rPr>
                            </w:pPr>
                          </w:p>
                          <w:p>
                            <w:pPr>
                              <w:pStyle w:val="12"/>
                              <w:spacing w:before="8"/>
                              <w:rPr>
                                <w:rFonts w:hint="eastAsia" w:ascii="仿宋" w:hAnsi="仿宋" w:eastAsia="仿宋" w:cs="仿宋"/>
                                <w:kern w:val="2"/>
                                <w:sz w:val="21"/>
                                <w:szCs w:val="21"/>
                                <w:lang w:val="zh-CN" w:eastAsia="zh-CN" w:bidi="ar-SA"/>
                              </w:rPr>
                            </w:pPr>
                          </w:p>
                          <w:p>
                            <w:pPr>
                              <w:pStyle w:val="12"/>
                              <w:spacing w:before="1"/>
                              <w:ind w:left="10"/>
                              <w:jc w:val="center"/>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3</w:t>
                            </w:r>
                          </w:p>
                        </w:tc>
                        <w:tc>
                          <w:tcPr>
                            <w:tcW w:w="1965"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8"/>
                              <w:rPr>
                                <w:rFonts w:hint="eastAsia" w:ascii="仿宋" w:hAnsi="仿宋" w:eastAsia="仿宋" w:cs="仿宋"/>
                                <w:kern w:val="2"/>
                                <w:sz w:val="21"/>
                                <w:szCs w:val="21"/>
                                <w:lang w:val="en-US" w:eastAsia="zh-CN" w:bidi="ar-SA"/>
                              </w:rPr>
                            </w:pPr>
                          </w:p>
                          <w:p>
                            <w:pPr>
                              <w:pStyle w:val="12"/>
                              <w:spacing w:before="1"/>
                              <w:ind w:left="11"/>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税收基础</w:t>
                            </w:r>
                          </w:p>
                        </w:tc>
                        <w:tc>
                          <w:tcPr>
                            <w:tcW w:w="4293" w:type="dxa"/>
                          </w:tcPr>
                          <w:p>
                            <w:pPr>
                              <w:pStyle w:val="12"/>
                              <w:spacing w:before="21" w:line="278" w:lineRule="auto"/>
                              <w:ind w:left="111" w:right="94"/>
                              <w:jc w:val="both"/>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w:t>
                            </w:r>
                            <w:r>
                              <w:rPr>
                                <w:rFonts w:hint="eastAsia" w:ascii="仿宋" w:hAnsi="仿宋" w:eastAsia="仿宋" w:cs="仿宋"/>
                                <w:kern w:val="2"/>
                                <w:sz w:val="21"/>
                                <w:szCs w:val="21"/>
                                <w:lang w:val="en-US" w:eastAsia="zh-CN" w:bidi="ar-SA"/>
                              </w:rPr>
                              <w:t>税收</w:t>
                            </w:r>
                            <w:r>
                              <w:rPr>
                                <w:rFonts w:hint="eastAsia" w:ascii="仿宋" w:hAnsi="仿宋" w:eastAsia="仿宋" w:cs="仿宋"/>
                                <w:kern w:val="2"/>
                                <w:sz w:val="21"/>
                                <w:szCs w:val="21"/>
                                <w:lang w:val="zh-CN" w:eastAsia="zh-CN" w:bidi="ar-SA"/>
                              </w:rPr>
                              <w:t>基础》课程是会计事务必修课程；通过本课程的教学， 使学生掌握基本的税务知识，包括计税、报税、纳税等环节的流程。使学生了解增值税、所得税、消费税等税种的税收原理、税率和计算方法。使学生掌握大类税种的基本计算方式和分录制作方式。</w:t>
                            </w:r>
                          </w:p>
                        </w:tc>
                        <w:tc>
                          <w:tcPr>
                            <w:tcW w:w="1524" w:type="dxa"/>
                          </w:tcPr>
                          <w:p>
                            <w:pPr>
                              <w:pStyle w:val="12"/>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spacing w:before="12"/>
                              <w:rPr>
                                <w:rFonts w:hint="eastAsia" w:ascii="仿宋" w:hAnsi="仿宋" w:eastAsia="仿宋" w:cs="仿宋"/>
                                <w:kern w:val="2"/>
                                <w:sz w:val="21"/>
                                <w:szCs w:val="21"/>
                                <w:lang w:val="en-US" w:eastAsia="zh-CN" w:bidi="ar-SA"/>
                              </w:rPr>
                            </w:pPr>
                          </w:p>
                          <w:p>
                            <w:pPr>
                              <w:pStyle w:val="12"/>
                              <w:spacing w:before="1"/>
                              <w:ind w:left="319" w:right="310"/>
                              <w:jc w:val="center"/>
                              <w:rPr>
                                <w:rFonts w:hint="default"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744" w:type="dxa"/>
                          </w:tcPr>
                          <w:p>
                            <w:pPr>
                              <w:pStyle w:val="12"/>
                              <w:spacing w:before="6"/>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p>
                          <w:p>
                            <w:pPr>
                              <w:pStyle w:val="12"/>
                              <w:ind w:left="10"/>
                              <w:jc w:val="center"/>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4</w:t>
                            </w:r>
                          </w:p>
                        </w:tc>
                        <w:tc>
                          <w:tcPr>
                            <w:tcW w:w="1965" w:type="dxa"/>
                          </w:tcPr>
                          <w:p>
                            <w:pPr>
                              <w:pStyle w:val="12"/>
                              <w:spacing w:before="6"/>
                              <w:rPr>
                                <w:rFonts w:hint="eastAsia" w:ascii="仿宋" w:hAnsi="仿宋" w:eastAsia="仿宋" w:cs="仿宋"/>
                                <w:kern w:val="2"/>
                                <w:sz w:val="21"/>
                                <w:szCs w:val="21"/>
                                <w:lang w:val="en-US" w:eastAsia="zh-CN" w:bidi="ar-SA"/>
                              </w:rPr>
                            </w:pPr>
                          </w:p>
                          <w:p>
                            <w:pPr>
                              <w:pStyle w:val="12"/>
                              <w:ind w:left="11"/>
                              <w:jc w:val="center"/>
                              <w:rPr>
                                <w:rFonts w:hint="eastAsia" w:ascii="仿宋" w:hAnsi="仿宋" w:eastAsia="仿宋" w:cs="仿宋"/>
                                <w:kern w:val="2"/>
                                <w:sz w:val="21"/>
                                <w:szCs w:val="21"/>
                                <w:lang w:val="en-US" w:eastAsia="zh-CN" w:bidi="ar-SA"/>
                              </w:rPr>
                            </w:pPr>
                          </w:p>
                          <w:p>
                            <w:pPr>
                              <w:pStyle w:val="12"/>
                              <w:rPr>
                                <w:rFonts w:hint="eastAsia" w:ascii="仿宋" w:hAnsi="仿宋" w:eastAsia="仿宋" w:cs="仿宋"/>
                                <w:kern w:val="2"/>
                                <w:sz w:val="21"/>
                                <w:szCs w:val="21"/>
                                <w:lang w:val="en-US" w:eastAsia="zh-CN" w:bidi="ar-SA"/>
                              </w:rPr>
                            </w:pPr>
                          </w:p>
                          <w:p>
                            <w:pPr>
                              <w:pStyle w:val="12"/>
                              <w:ind w:left="11"/>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成本会计</w:t>
                            </w:r>
                          </w:p>
                        </w:tc>
                        <w:tc>
                          <w:tcPr>
                            <w:tcW w:w="4293" w:type="dxa"/>
                          </w:tcPr>
                          <w:p>
                            <w:pPr>
                              <w:pStyle w:val="12"/>
                              <w:spacing w:before="25" w:line="278" w:lineRule="auto"/>
                              <w:ind w:left="111" w:right="94"/>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成本会计》课程是会计事务专业必修的专业课，通过本课程的教学,使学生了解和掌握基本的成本计算、分摊方法，使学生掌握不同情境下、不同成本管理制度之下成本计算方法的使用。以及了解成本会计工作的业务流程和使用的各种工具。</w:t>
                            </w:r>
                          </w:p>
                        </w:tc>
                        <w:tc>
                          <w:tcPr>
                            <w:tcW w:w="1524" w:type="dxa"/>
                          </w:tcPr>
                          <w:p>
                            <w:pPr>
                              <w:pStyle w:val="12"/>
                              <w:spacing w:before="10"/>
                              <w:rPr>
                                <w:rFonts w:hint="eastAsia" w:ascii="仿宋" w:hAnsi="仿宋" w:eastAsia="仿宋" w:cs="仿宋"/>
                                <w:kern w:val="2"/>
                                <w:sz w:val="21"/>
                                <w:szCs w:val="21"/>
                                <w:lang w:val="en-US" w:eastAsia="zh-CN" w:bidi="ar-SA"/>
                              </w:rPr>
                            </w:pPr>
                          </w:p>
                          <w:p>
                            <w:pPr>
                              <w:pStyle w:val="12"/>
                              <w:ind w:left="319" w:right="309"/>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3" w:hRule="atLeast"/>
                        </w:trPr>
                        <w:tc>
                          <w:tcPr>
                            <w:tcW w:w="744" w:type="dxa"/>
                          </w:tcPr>
                          <w:p>
                            <w:pPr>
                              <w:pStyle w:val="12"/>
                              <w:spacing w:before="6"/>
                              <w:rPr>
                                <w:rFonts w:hint="eastAsia" w:ascii="仿宋" w:hAnsi="仿宋" w:eastAsia="仿宋" w:cs="仿宋"/>
                                <w:kern w:val="2"/>
                                <w:sz w:val="21"/>
                                <w:szCs w:val="21"/>
                                <w:lang w:val="zh-CN" w:eastAsia="zh-CN" w:bidi="ar-SA"/>
                              </w:rPr>
                            </w:pPr>
                          </w:p>
                          <w:p>
                            <w:pPr>
                              <w:pStyle w:val="12"/>
                              <w:spacing w:before="6"/>
                              <w:rPr>
                                <w:rFonts w:hint="eastAsia" w:ascii="仿宋" w:hAnsi="仿宋" w:eastAsia="仿宋" w:cs="仿宋"/>
                                <w:kern w:val="2"/>
                                <w:sz w:val="21"/>
                                <w:szCs w:val="21"/>
                                <w:lang w:val="zh-CN" w:eastAsia="zh-CN" w:bidi="ar-SA"/>
                              </w:rPr>
                            </w:pPr>
                          </w:p>
                          <w:p>
                            <w:pPr>
                              <w:pStyle w:val="12"/>
                              <w:spacing w:before="6"/>
                              <w:rPr>
                                <w:rFonts w:hint="eastAsia" w:ascii="仿宋" w:hAnsi="仿宋" w:eastAsia="仿宋" w:cs="仿宋"/>
                                <w:kern w:val="2"/>
                                <w:sz w:val="21"/>
                                <w:szCs w:val="21"/>
                                <w:lang w:val="zh-CN" w:eastAsia="zh-CN" w:bidi="ar-SA"/>
                              </w:rPr>
                            </w:pPr>
                          </w:p>
                          <w:p>
                            <w:pPr>
                              <w:pStyle w:val="12"/>
                              <w:spacing w:before="6"/>
                              <w:jc w:val="center"/>
                              <w:rPr>
                                <w:rFonts w:hint="eastAsia" w:ascii="仿宋" w:hAnsi="仿宋" w:eastAsia="仿宋" w:cs="仿宋"/>
                                <w:kern w:val="2"/>
                                <w:sz w:val="21"/>
                                <w:szCs w:val="21"/>
                                <w:lang w:val="zh-CN" w:eastAsia="zh-CN" w:bidi="ar-SA"/>
                              </w:rPr>
                            </w:pPr>
                            <w:r>
                              <w:rPr>
                                <w:rFonts w:hint="eastAsia" w:ascii="仿宋" w:hAnsi="仿宋" w:eastAsia="仿宋" w:cs="仿宋"/>
                                <w:kern w:val="2"/>
                                <w:sz w:val="21"/>
                                <w:szCs w:val="21"/>
                                <w:lang w:val="zh-CN" w:eastAsia="zh-CN" w:bidi="ar-SA"/>
                              </w:rPr>
                              <w:t>5</w:t>
                            </w:r>
                          </w:p>
                          <w:p>
                            <w:pPr>
                              <w:pStyle w:val="12"/>
                              <w:spacing w:before="6"/>
                              <w:rPr>
                                <w:rFonts w:hint="eastAsia" w:ascii="仿宋" w:hAnsi="仿宋" w:eastAsia="仿宋" w:cs="仿宋"/>
                                <w:kern w:val="2"/>
                                <w:sz w:val="21"/>
                                <w:szCs w:val="21"/>
                                <w:lang w:val="zh-CN" w:eastAsia="zh-CN" w:bidi="ar-SA"/>
                              </w:rPr>
                            </w:pPr>
                          </w:p>
                        </w:tc>
                        <w:tc>
                          <w:tcPr>
                            <w:tcW w:w="1965" w:type="dxa"/>
                          </w:tcPr>
                          <w:p>
                            <w:pPr>
                              <w:pStyle w:val="12"/>
                              <w:spacing w:before="6"/>
                              <w:rPr>
                                <w:rFonts w:hint="eastAsia" w:ascii="仿宋" w:hAnsi="仿宋" w:eastAsia="仿宋" w:cs="仿宋"/>
                                <w:kern w:val="2"/>
                                <w:sz w:val="21"/>
                                <w:szCs w:val="21"/>
                                <w:lang w:val="en-US" w:eastAsia="zh-CN" w:bidi="ar-SA"/>
                              </w:rPr>
                            </w:pPr>
                          </w:p>
                          <w:p>
                            <w:pPr>
                              <w:pStyle w:val="12"/>
                              <w:spacing w:before="6"/>
                              <w:rPr>
                                <w:rFonts w:hint="eastAsia" w:ascii="仿宋" w:hAnsi="仿宋" w:eastAsia="仿宋" w:cs="仿宋"/>
                                <w:kern w:val="2"/>
                                <w:sz w:val="21"/>
                                <w:szCs w:val="21"/>
                                <w:lang w:val="en-US" w:eastAsia="zh-CN" w:bidi="ar-SA"/>
                              </w:rPr>
                            </w:pPr>
                          </w:p>
                          <w:p>
                            <w:pPr>
                              <w:pStyle w:val="12"/>
                              <w:spacing w:before="6"/>
                              <w:rPr>
                                <w:rFonts w:hint="eastAsia" w:ascii="仿宋" w:hAnsi="仿宋" w:eastAsia="仿宋" w:cs="仿宋"/>
                                <w:kern w:val="2"/>
                                <w:sz w:val="21"/>
                                <w:szCs w:val="21"/>
                                <w:lang w:val="en-US" w:eastAsia="zh-CN" w:bidi="ar-SA"/>
                              </w:rPr>
                            </w:pPr>
                          </w:p>
                          <w:p>
                            <w:pPr>
                              <w:pStyle w:val="12"/>
                              <w:spacing w:before="6"/>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书法</w:t>
                            </w:r>
                          </w:p>
                        </w:tc>
                        <w:tc>
                          <w:tcPr>
                            <w:tcW w:w="4293" w:type="dxa"/>
                          </w:tcPr>
                          <w:p>
                            <w:pPr>
                              <w:pStyle w:val="12"/>
                              <w:spacing w:before="25" w:line="278" w:lineRule="auto"/>
                              <w:ind w:left="111" w:right="94"/>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《书法》课程是会计事务专业必修的课程，通过本课程的教学，学生掌握书法的基本书写技巧，提高字体美观性，提高个人的修养，传承优秀的中国传统文化。</w:t>
                            </w:r>
                          </w:p>
                        </w:tc>
                        <w:tc>
                          <w:tcPr>
                            <w:tcW w:w="1524" w:type="dxa"/>
                          </w:tcPr>
                          <w:p>
                            <w:pPr>
                              <w:pStyle w:val="12"/>
                              <w:spacing w:before="10"/>
                              <w:jc w:val="center"/>
                              <w:rPr>
                                <w:rFonts w:hint="eastAsia" w:ascii="仿宋" w:hAnsi="仿宋" w:eastAsia="仿宋" w:cs="仿宋"/>
                                <w:kern w:val="2"/>
                                <w:sz w:val="21"/>
                                <w:szCs w:val="21"/>
                                <w:lang w:val="en-US" w:eastAsia="zh-CN" w:bidi="ar-SA"/>
                              </w:rPr>
                            </w:pPr>
                          </w:p>
                          <w:p>
                            <w:pPr>
                              <w:pStyle w:val="12"/>
                              <w:spacing w:before="10"/>
                              <w:jc w:val="center"/>
                              <w:rPr>
                                <w:rFonts w:hint="eastAsia" w:ascii="仿宋" w:hAnsi="仿宋" w:eastAsia="仿宋" w:cs="仿宋"/>
                                <w:kern w:val="2"/>
                                <w:sz w:val="21"/>
                                <w:szCs w:val="21"/>
                                <w:lang w:val="en-US" w:eastAsia="zh-CN" w:bidi="ar-SA"/>
                              </w:rPr>
                            </w:pPr>
                          </w:p>
                          <w:p>
                            <w:pPr>
                              <w:pStyle w:val="12"/>
                              <w:spacing w:before="10"/>
                              <w:jc w:val="center"/>
                              <w:rPr>
                                <w:rFonts w:hint="eastAsia" w:ascii="仿宋" w:hAnsi="仿宋" w:eastAsia="仿宋" w:cs="仿宋"/>
                                <w:kern w:val="2"/>
                                <w:sz w:val="21"/>
                                <w:szCs w:val="21"/>
                                <w:lang w:val="en-US" w:eastAsia="zh-CN" w:bidi="ar-SA"/>
                              </w:rPr>
                            </w:pPr>
                          </w:p>
                          <w:p>
                            <w:pPr>
                              <w:pStyle w:val="12"/>
                              <w:spacing w:before="10"/>
                              <w:jc w:val="center"/>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zh-CN" w:eastAsia="zh-CN" w:bidi="ar-SA"/>
                              </w:rPr>
                              <w:t>36</w:t>
                            </w:r>
                          </w:p>
                        </w:tc>
                      </w:tr>
                    </w:tbl>
                    <w:p>
                      <w:pPr>
                        <w:pStyle w:val="3"/>
                        <w:rPr>
                          <w:rFonts w:hint="eastAsia" w:ascii="仿宋" w:hAnsi="仿宋" w:eastAsia="仿宋" w:cs="仿宋"/>
                          <w:kern w:val="2"/>
                          <w:sz w:val="21"/>
                          <w:szCs w:val="21"/>
                          <w:lang w:val="en-US" w:eastAsia="zh-CN" w:bidi="ar-SA"/>
                        </w:rPr>
                      </w:pPr>
                    </w:p>
                  </w:txbxContent>
                </v:textbox>
                <w10:wrap type="tight"/>
              </v:shape>
            </w:pict>
          </mc:Fallback>
        </mc:AlternateContent>
      </w:r>
      <w:r>
        <w:t xml:space="preserve"> </w:t>
      </w:r>
    </w:p>
    <w:tbl>
      <w:tblPr>
        <w:tblStyle w:val="7"/>
        <w:tblW w:w="0" w:type="auto"/>
        <w:tblInd w:w="4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965"/>
        <w:gridCol w:w="4293"/>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 w:hRule="atLeast"/>
        </w:trPr>
        <w:tc>
          <w:tcPr>
            <w:tcW w:w="744" w:type="dxa"/>
          </w:tcPr>
          <w:p>
            <w:pPr>
              <w:pStyle w:val="12"/>
              <w:rPr>
                <w:rFonts w:ascii="Times New Roman"/>
                <w:sz w:val="20"/>
              </w:rPr>
            </w:pPr>
          </w:p>
        </w:tc>
        <w:tc>
          <w:tcPr>
            <w:tcW w:w="1965" w:type="dxa"/>
          </w:tcPr>
          <w:p>
            <w:pPr>
              <w:pStyle w:val="12"/>
              <w:rPr>
                <w:rFonts w:ascii="Times New Roman"/>
                <w:sz w:val="20"/>
              </w:rPr>
            </w:pPr>
          </w:p>
        </w:tc>
        <w:tc>
          <w:tcPr>
            <w:tcW w:w="4293" w:type="dxa"/>
          </w:tcPr>
          <w:p>
            <w:pPr>
              <w:pStyle w:val="12"/>
              <w:spacing w:line="269" w:lineRule="exact"/>
              <w:jc w:val="both"/>
              <w:rPr>
                <w:sz w:val="21"/>
              </w:rPr>
            </w:pPr>
          </w:p>
        </w:tc>
        <w:tc>
          <w:tcPr>
            <w:tcW w:w="1524" w:type="dxa"/>
          </w:tcPr>
          <w:p>
            <w:pPr>
              <w:pStyle w:val="12"/>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744"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6</w:t>
            </w:r>
          </w:p>
        </w:tc>
        <w:tc>
          <w:tcPr>
            <w:tcW w:w="1965"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经济法</w:t>
            </w: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经济法》课程是会计事务专业的核心课；通过本课程的教学使学生了解经济法的立法原则、基本内容，了解公司法、票据法、会计法、会计准则等相关法律法规的基本框架和重要条款。使学生在未来的工作当中能够知法懂法守法。</w:t>
            </w:r>
          </w:p>
        </w:tc>
        <w:tc>
          <w:tcPr>
            <w:tcW w:w="1524"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7</w:t>
            </w:r>
            <w:r>
              <w:rPr>
                <w:rFonts w:hint="eastAsia" w:ascii="仿宋" w:hAnsi="仿宋" w:eastAsia="仿宋" w:cs="仿宋"/>
                <w:sz w:val="21"/>
                <w:szCs w:val="21"/>
                <w:lang w:val="en-US" w:eastAsia="zh-CN" w:bidi="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 w:hRule="atLeast"/>
        </w:trPr>
        <w:tc>
          <w:tcPr>
            <w:tcW w:w="744"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7</w:t>
            </w:r>
          </w:p>
        </w:tc>
        <w:tc>
          <w:tcPr>
            <w:tcW w:w="1965"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基础会计学测</w:t>
            </w: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根据有关部门发布的学业水平测试财经管理类会计基础科目考纲开设本课程。</w:t>
            </w:r>
          </w:p>
        </w:tc>
        <w:tc>
          <w:tcPr>
            <w:tcW w:w="1524"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72</w:t>
            </w:r>
          </w:p>
        </w:tc>
      </w:tr>
    </w:tbl>
    <w:p>
      <w:pPr>
        <w:pStyle w:val="3"/>
        <w:spacing w:before="17"/>
        <w:rPr>
          <w:rFonts w:ascii="Microsoft JhengHei"/>
          <w:b/>
          <w:sz w:val="4"/>
        </w:rPr>
      </w:pPr>
    </w:p>
    <w:p>
      <w:pPr>
        <w:pStyle w:val="11"/>
        <w:tabs>
          <w:tab w:val="left" w:pos="1125"/>
        </w:tabs>
        <w:spacing w:before="0"/>
        <w:ind w:left="660" w:firstLine="0"/>
        <w:rPr>
          <w:rFonts w:ascii="Microsoft JhengHei" w:eastAsia="Microsoft JhengHei"/>
          <w:b/>
          <w:sz w:val="30"/>
        </w:rPr>
      </w:pPr>
      <w:r>
        <w:rPr>
          <w:rFonts w:hint="eastAsia" w:ascii="Microsoft JhengHei" w:eastAsiaTheme="minorEastAsia"/>
          <w:b/>
          <w:color w:val="0D0D0D"/>
          <w:sz w:val="30"/>
        </w:rPr>
        <w:t>（三）</w:t>
      </w:r>
      <w:r>
        <w:rPr>
          <w:rFonts w:hint="eastAsia" w:ascii="Microsoft JhengHei" w:eastAsia="Microsoft JhengHei"/>
          <w:b/>
          <w:color w:val="0D0D0D"/>
          <w:sz w:val="30"/>
        </w:rPr>
        <w:t>专业技能（</w:t>
      </w:r>
      <w:r>
        <w:rPr>
          <w:rFonts w:hint="eastAsia" w:ascii="Microsoft JhengHei" w:eastAsia="Microsoft JhengHei"/>
          <w:b/>
          <w:color w:val="0D0D0D"/>
          <w:spacing w:val="2"/>
          <w:sz w:val="30"/>
        </w:rPr>
        <w:t>方向</w:t>
      </w:r>
      <w:r>
        <w:rPr>
          <w:rFonts w:hint="eastAsia" w:ascii="Microsoft JhengHei" w:eastAsia="Microsoft JhengHei"/>
          <w:b/>
          <w:color w:val="0D0D0D"/>
          <w:sz w:val="30"/>
        </w:rPr>
        <w:t>）课</w:t>
      </w:r>
    </w:p>
    <w:tbl>
      <w:tblPr>
        <w:tblStyle w:val="7"/>
        <w:tblpPr w:leftFromText="180" w:rightFromText="180" w:vertAnchor="text" w:horzAnchor="page" w:tblpX="1491" w:tblpY="34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7"/>
        <w:gridCol w:w="1919"/>
        <w:gridCol w:w="4293"/>
        <w:gridCol w:w="15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717"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序号</w:t>
            </w:r>
          </w:p>
        </w:tc>
        <w:tc>
          <w:tcPr>
            <w:tcW w:w="1919"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课程名称</w:t>
            </w: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主要教学内容和要求</w:t>
            </w:r>
          </w:p>
        </w:tc>
        <w:tc>
          <w:tcPr>
            <w:tcW w:w="1588" w:type="dxa"/>
          </w:tcPr>
          <w:p>
            <w:pPr>
              <w:pStyle w:val="12"/>
              <w:spacing w:before="21" w:line="278" w:lineRule="auto"/>
              <w:ind w:left="111" w:right="94"/>
              <w:jc w:val="both"/>
              <w:rPr>
                <w:rFonts w:hint="eastAsia" w:ascii="仿宋" w:hAnsi="仿宋" w:eastAsia="仿宋" w:cs="仿宋"/>
                <w:sz w:val="21"/>
                <w:szCs w:val="21"/>
                <w:lang w:val="en-US" w:eastAsia="zh-CN" w:bidi="zh-CN"/>
              </w:rPr>
            </w:pPr>
            <w:r>
              <w:rPr>
                <w:rFonts w:hint="eastAsia" w:ascii="仿宋" w:hAnsi="仿宋" w:eastAsia="仿宋" w:cs="仿宋"/>
                <w:sz w:val="21"/>
                <w:szCs w:val="21"/>
                <w:lang w:val="zh-CN" w:eastAsia="zh-CN" w:bidi="zh-CN"/>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2" w:hRule="atLeast"/>
        </w:trPr>
        <w:tc>
          <w:tcPr>
            <w:tcW w:w="717"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en-US" w:eastAsia="zh-CN" w:bidi="zh-CN"/>
              </w:rPr>
            </w:pPr>
            <w:r>
              <w:rPr>
                <w:rFonts w:hint="eastAsia" w:ascii="仿宋" w:hAnsi="仿宋" w:eastAsia="仿宋" w:cs="仿宋"/>
                <w:sz w:val="21"/>
                <w:szCs w:val="21"/>
                <w:lang w:val="zh-CN" w:eastAsia="zh-CN" w:bidi="zh-CN"/>
              </w:rPr>
              <w:t>1</w:t>
            </w:r>
          </w:p>
        </w:tc>
        <w:tc>
          <w:tcPr>
            <w:tcW w:w="1919"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会计手工帐</w:t>
            </w: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《基础会计实务》是会计事务的专业技能（方向）课。通过本课程的学习， 初步了解基础会计工作中涉及到的商业汇票、本票、支票、银行汇票等专业票据的具体使用方法及流程，掌握基本会计工作需要的制作填写单据、记账报账的方法。掌握基本的制作账簿、装订整理账簿的方法。掌握账簿平行登记的技能。掌握制作银行对账单、科目汇总表、资产负债表、存货盘点表、利润表的制作方法。</w:t>
            </w:r>
          </w:p>
        </w:tc>
        <w:tc>
          <w:tcPr>
            <w:tcW w:w="1588"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717"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2</w:t>
            </w:r>
          </w:p>
        </w:tc>
        <w:tc>
          <w:tcPr>
            <w:tcW w:w="1919"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技能考试实训</w:t>
            </w: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根据有关部门发布的学业水平测试财经管理类专业技能测试考纲开设本课程。</w:t>
            </w:r>
          </w:p>
        </w:tc>
        <w:tc>
          <w:tcPr>
            <w:tcW w:w="1588"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17"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en-US" w:eastAsia="zh-CN" w:bidi="zh-CN"/>
              </w:rPr>
            </w:pPr>
            <w:r>
              <w:rPr>
                <w:rFonts w:hint="eastAsia" w:ascii="仿宋" w:hAnsi="仿宋" w:eastAsia="仿宋" w:cs="仿宋"/>
                <w:sz w:val="21"/>
                <w:szCs w:val="21"/>
                <w:lang w:val="en-US" w:eastAsia="zh-CN" w:bidi="zh-CN"/>
              </w:rPr>
              <w:t>3</w:t>
            </w:r>
          </w:p>
        </w:tc>
        <w:tc>
          <w:tcPr>
            <w:tcW w:w="1919"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珠算传票点钞</w:t>
            </w: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《珠算传票点钞》是会计事务专业的技能课，本课程要求学生能够全面系统的掌握珠算的方法、能够熟练根据传票进行翻打、能够使用多种方式精确、快速点钞。</w:t>
            </w:r>
          </w:p>
        </w:tc>
        <w:tc>
          <w:tcPr>
            <w:tcW w:w="1588"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717"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4</w:t>
            </w:r>
          </w:p>
        </w:tc>
        <w:tc>
          <w:tcPr>
            <w:tcW w:w="1919"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会计电算化</w:t>
            </w: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《会计电算化》课程是会计事务必修的专业技能（方向）课, 通过本课程的教学,使学生了解会计电算化软件的基本功能、应用场景，通过这门课的学习，学生能够掌握会计电算化软件的基本做账流程、以及对账、出账、制作自动生成财务报表等功能。</w:t>
            </w:r>
          </w:p>
        </w:tc>
        <w:tc>
          <w:tcPr>
            <w:tcW w:w="1588"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717"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en-US" w:eastAsia="zh-CN" w:bidi="zh-CN"/>
              </w:rPr>
            </w:pPr>
          </w:p>
          <w:p>
            <w:pPr>
              <w:pStyle w:val="12"/>
              <w:spacing w:before="21" w:line="278" w:lineRule="auto"/>
              <w:ind w:left="111" w:right="94"/>
              <w:jc w:val="both"/>
              <w:rPr>
                <w:rFonts w:hint="eastAsia" w:ascii="仿宋" w:hAnsi="仿宋" w:eastAsia="仿宋" w:cs="仿宋"/>
                <w:sz w:val="21"/>
                <w:szCs w:val="21"/>
                <w:lang w:val="en-US" w:eastAsia="zh-CN" w:bidi="zh-CN"/>
              </w:rPr>
            </w:pPr>
          </w:p>
          <w:p>
            <w:pPr>
              <w:pStyle w:val="12"/>
              <w:spacing w:before="21" w:line="278" w:lineRule="auto"/>
              <w:ind w:left="111" w:right="94"/>
              <w:jc w:val="both"/>
              <w:rPr>
                <w:rFonts w:hint="eastAsia" w:ascii="仿宋" w:hAnsi="仿宋" w:eastAsia="仿宋" w:cs="仿宋"/>
                <w:sz w:val="21"/>
                <w:szCs w:val="21"/>
                <w:lang w:val="en-US"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5</w:t>
            </w: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right="94"/>
              <w:jc w:val="both"/>
              <w:rPr>
                <w:rFonts w:hint="eastAsia" w:ascii="仿宋" w:hAnsi="仿宋" w:eastAsia="仿宋" w:cs="仿宋"/>
                <w:sz w:val="21"/>
                <w:szCs w:val="21"/>
                <w:lang w:val="zh-CN" w:eastAsia="zh-CN" w:bidi="zh-CN"/>
              </w:rPr>
            </w:pPr>
          </w:p>
        </w:tc>
        <w:tc>
          <w:tcPr>
            <w:tcW w:w="1919"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EXCEL财务应用</w:t>
            </w: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right="94"/>
              <w:jc w:val="both"/>
              <w:rPr>
                <w:rFonts w:hint="eastAsia" w:ascii="仿宋" w:hAnsi="仿宋" w:eastAsia="仿宋" w:cs="仿宋"/>
                <w:sz w:val="21"/>
                <w:szCs w:val="21"/>
                <w:lang w:val="zh-CN" w:eastAsia="zh-CN" w:bidi="zh-CN"/>
              </w:rPr>
            </w:pP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EXCEL财务应用》课程是会计事务的重点技能课程，通过这门课程的教学，使学生了解EXCEL在会计业务上的各种功能，使学生能够熟练掌握各种快捷键、函数，要求学生能够独立设计各种凭证、账簿，以及利用各种数学、财务函数设计一整套电算化账务体系。</w:t>
            </w:r>
          </w:p>
        </w:tc>
        <w:tc>
          <w:tcPr>
            <w:tcW w:w="1588"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72</w:t>
            </w: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right="94"/>
              <w:jc w:val="both"/>
              <w:rPr>
                <w:rFonts w:hint="eastAsia" w:ascii="仿宋" w:hAnsi="仿宋" w:eastAsia="仿宋" w:cs="仿宋"/>
                <w:sz w:val="21"/>
                <w:szCs w:val="21"/>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717"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en-US" w:eastAsia="zh-CN" w:bidi="zh-CN"/>
              </w:rPr>
            </w:pPr>
          </w:p>
          <w:p>
            <w:pPr>
              <w:pStyle w:val="12"/>
              <w:spacing w:before="21" w:line="278" w:lineRule="auto"/>
              <w:ind w:right="94"/>
              <w:jc w:val="both"/>
              <w:rPr>
                <w:rFonts w:hint="eastAsia" w:ascii="仿宋" w:hAnsi="仿宋" w:eastAsia="仿宋" w:cs="仿宋"/>
                <w:sz w:val="21"/>
                <w:szCs w:val="21"/>
                <w:lang w:val="en-US"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6</w:t>
            </w: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tc>
        <w:tc>
          <w:tcPr>
            <w:tcW w:w="1919"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共享财务中心</w:t>
            </w: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共享财务中心》课程是会计事务的1+X技能考试课程，通过这门课程的教学，使学生了解共享财务中心软件在会计业务上的各种功能，使学生能够熟练掌握凭证审核，与人工智能共同协作，做好记账、结账、出报表，以及报税工作。通过这门课的学习，部分学生可参加1+X技能证考试并获取证书。</w:t>
            </w:r>
          </w:p>
        </w:tc>
        <w:tc>
          <w:tcPr>
            <w:tcW w:w="1588"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en-US" w:eastAsia="zh-CN" w:bidi="zh-CN"/>
              </w:rPr>
              <w:t>36</w:t>
            </w: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717"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7</w:t>
            </w:r>
          </w:p>
        </w:tc>
        <w:tc>
          <w:tcPr>
            <w:tcW w:w="1919"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初级会计实务</w:t>
            </w: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根据国家财政部、人事部举办的年度初级会计师初级会计实务科目的考试大纲为课程目录、要求，开设本专业课。</w:t>
            </w:r>
          </w:p>
        </w:tc>
        <w:tc>
          <w:tcPr>
            <w:tcW w:w="1588"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6" w:hRule="atLeast"/>
        </w:trPr>
        <w:tc>
          <w:tcPr>
            <w:tcW w:w="717"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8</w:t>
            </w:r>
          </w:p>
        </w:tc>
        <w:tc>
          <w:tcPr>
            <w:tcW w:w="1919"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经济法基础</w:t>
            </w:r>
          </w:p>
        </w:tc>
        <w:tc>
          <w:tcPr>
            <w:tcW w:w="4293" w:type="dxa"/>
          </w:tcPr>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根据国家财政部、人事部举办的年度初级会计师经济法基础科目的考试大纲为课程目录、要求，开设本专业课。</w:t>
            </w:r>
          </w:p>
        </w:tc>
        <w:tc>
          <w:tcPr>
            <w:tcW w:w="1588" w:type="dxa"/>
          </w:tcPr>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p>
          <w:p>
            <w:pPr>
              <w:pStyle w:val="12"/>
              <w:spacing w:before="21" w:line="278" w:lineRule="auto"/>
              <w:ind w:left="111" w:right="94"/>
              <w:jc w:val="both"/>
              <w:rPr>
                <w:rFonts w:hint="eastAsia" w:ascii="仿宋" w:hAnsi="仿宋" w:eastAsia="仿宋" w:cs="仿宋"/>
                <w:sz w:val="21"/>
                <w:szCs w:val="21"/>
                <w:lang w:val="zh-CN" w:eastAsia="zh-CN" w:bidi="zh-CN"/>
              </w:rPr>
            </w:pPr>
            <w:r>
              <w:rPr>
                <w:rFonts w:hint="eastAsia" w:ascii="仿宋" w:hAnsi="仿宋" w:eastAsia="仿宋" w:cs="仿宋"/>
                <w:sz w:val="21"/>
                <w:szCs w:val="21"/>
                <w:lang w:val="zh-CN" w:eastAsia="zh-CN" w:bidi="zh-CN"/>
              </w:rPr>
              <w:t>144</w:t>
            </w:r>
          </w:p>
        </w:tc>
      </w:tr>
    </w:tbl>
    <w:p>
      <w:pPr>
        <w:pStyle w:val="11"/>
        <w:tabs>
          <w:tab w:val="left" w:pos="1125"/>
        </w:tabs>
        <w:spacing w:before="0"/>
        <w:ind w:left="660" w:firstLine="0"/>
        <w:rPr>
          <w:rFonts w:ascii="Microsoft JhengHei" w:eastAsiaTheme="minorEastAsia"/>
          <w:b/>
          <w:color w:val="0D0D0D"/>
          <w:sz w:val="30"/>
        </w:rPr>
      </w:pPr>
    </w:p>
    <w:p>
      <w:pPr>
        <w:pStyle w:val="11"/>
        <w:tabs>
          <w:tab w:val="left" w:pos="1125"/>
        </w:tabs>
        <w:spacing w:before="0"/>
        <w:ind w:left="660" w:firstLine="0"/>
        <w:rPr>
          <w:rFonts w:ascii="Microsoft JhengHei" w:eastAsiaTheme="minorEastAsia"/>
          <w:b/>
          <w:color w:val="0D0D0D"/>
          <w:sz w:val="30"/>
        </w:rPr>
      </w:pPr>
    </w:p>
    <w:p>
      <w:pPr>
        <w:pStyle w:val="11"/>
        <w:tabs>
          <w:tab w:val="left" w:pos="1125"/>
        </w:tabs>
        <w:spacing w:before="0"/>
        <w:ind w:left="660" w:firstLine="0"/>
        <w:rPr>
          <w:rFonts w:ascii="Microsoft JhengHei" w:eastAsiaTheme="minorEastAsia"/>
          <w:b/>
          <w:color w:val="0D0D0D"/>
          <w:sz w:val="30"/>
        </w:rPr>
      </w:pPr>
    </w:p>
    <w:p>
      <w:pPr>
        <w:pStyle w:val="11"/>
        <w:tabs>
          <w:tab w:val="left" w:pos="1125"/>
        </w:tabs>
        <w:spacing w:before="0"/>
        <w:ind w:left="660" w:firstLine="0"/>
        <w:rPr>
          <w:rFonts w:ascii="Microsoft JhengHei" w:eastAsiaTheme="minorEastAsia"/>
          <w:b/>
          <w:color w:val="0D0D0D"/>
          <w:sz w:val="30"/>
        </w:rPr>
      </w:pPr>
    </w:p>
    <w:p>
      <w:pPr>
        <w:pStyle w:val="11"/>
        <w:tabs>
          <w:tab w:val="left" w:pos="1125"/>
        </w:tabs>
        <w:spacing w:before="0"/>
        <w:ind w:left="660" w:firstLine="0"/>
        <w:rPr>
          <w:rFonts w:ascii="Microsoft JhengHei" w:eastAsiaTheme="minorEastAsia"/>
          <w:b/>
          <w:color w:val="0D0D0D"/>
          <w:sz w:val="30"/>
        </w:rPr>
      </w:pPr>
    </w:p>
    <w:p>
      <w:pPr>
        <w:pStyle w:val="11"/>
        <w:tabs>
          <w:tab w:val="left" w:pos="1125"/>
        </w:tabs>
        <w:spacing w:before="0"/>
        <w:ind w:left="660" w:firstLine="0"/>
        <w:rPr>
          <w:rFonts w:ascii="Microsoft JhengHei" w:eastAsiaTheme="minorEastAsia"/>
          <w:b/>
          <w:color w:val="0D0D0D"/>
          <w:sz w:val="30"/>
        </w:rPr>
      </w:pPr>
    </w:p>
    <w:p>
      <w:pPr>
        <w:rPr>
          <w:rFonts w:ascii="Microsoft JhengHei" w:eastAsiaTheme="minorEastAsia"/>
          <w:sz w:val="30"/>
        </w:rPr>
        <w:sectPr>
          <w:footerReference r:id="rId6" w:type="default"/>
          <w:footerReference r:id="rId7" w:type="even"/>
          <w:pgSz w:w="11910" w:h="16840"/>
          <w:pgMar w:top="1420" w:right="680" w:bottom="1240" w:left="1200" w:header="0" w:footer="1053" w:gutter="0"/>
          <w:cols w:space="720" w:num="1"/>
        </w:sectPr>
      </w:pPr>
    </w:p>
    <w:p>
      <w:pPr>
        <w:spacing w:before="4"/>
        <w:rPr>
          <w:sz w:val="24"/>
        </w:rPr>
      </w:pPr>
    </w:p>
    <w:p>
      <w:pPr>
        <w:pStyle w:val="3"/>
        <w:spacing w:before="121"/>
        <w:ind w:left="216"/>
        <w:rPr>
          <w:rFonts w:ascii="黑体" w:eastAsia="黑体"/>
          <w:color w:val="0D0D0D"/>
        </w:rPr>
      </w:pPr>
      <w:bookmarkStart w:id="7" w:name="_bookmark10"/>
      <w:bookmarkEnd w:id="7"/>
      <w:r>
        <w:rPr>
          <w:rFonts w:hint="eastAsia" w:ascii="黑体" w:eastAsia="黑体"/>
          <w:color w:val="0D0D0D"/>
        </w:rPr>
        <w:t>七、教学进程总体安排</w:t>
      </w:r>
    </w:p>
    <w:p>
      <w:pPr>
        <w:spacing w:line="480" w:lineRule="exact"/>
        <w:ind w:firstLine="562" w:firstLineChars="200"/>
        <w:rPr>
          <w:rFonts w:asciiTheme="minorEastAsia" w:hAnsiTheme="minorEastAsia" w:cstheme="minorEastAsia"/>
          <w:b/>
          <w:bCs/>
          <w:sz w:val="28"/>
          <w:szCs w:val="28"/>
        </w:rPr>
      </w:pPr>
      <w:r>
        <w:rPr>
          <w:rFonts w:hint="eastAsia" w:asciiTheme="minorEastAsia" w:hAnsiTheme="minorEastAsia" w:eastAsiaTheme="minorEastAsia" w:cstheme="minorEastAsia"/>
          <w:b/>
          <w:bCs/>
          <w:sz w:val="28"/>
          <w:szCs w:val="28"/>
        </w:rPr>
        <w:t>(一) 基本要求</w:t>
      </w:r>
    </w:p>
    <w:p>
      <w:pPr>
        <w:widowControl/>
        <w:spacing w:line="360" w:lineRule="auto"/>
        <w:ind w:firstLine="580" w:firstLineChars="200"/>
        <w:rPr>
          <w:color w:val="0D0D0D"/>
          <w:spacing w:val="-5"/>
          <w:sz w:val="30"/>
        </w:rPr>
      </w:pPr>
      <w:r>
        <w:rPr>
          <w:rFonts w:hint="eastAsia"/>
          <w:color w:val="0D0D0D"/>
          <w:spacing w:val="-5"/>
          <w:sz w:val="30"/>
        </w:rPr>
        <w:t xml:space="preserve">每学年教学时间 </w:t>
      </w:r>
      <w:r>
        <w:rPr>
          <w:color w:val="0D0D0D"/>
          <w:spacing w:val="-5"/>
          <w:sz w:val="30"/>
        </w:rPr>
        <w:t>36</w:t>
      </w:r>
      <w:r>
        <w:rPr>
          <w:rFonts w:hint="eastAsia"/>
          <w:color w:val="0D0D0D"/>
          <w:spacing w:val="-5"/>
          <w:sz w:val="30"/>
        </w:rPr>
        <w:t xml:space="preserve"> 周，周学时一般为 28 学时，每学时按 45 分钟左右计，顶岗实习按每周 30 小时（1 小时折合 1 学时）安排，3 年总学时数为 </w:t>
      </w:r>
      <w:r>
        <w:rPr>
          <w:color w:val="0D0D0D"/>
          <w:spacing w:val="-5"/>
          <w:sz w:val="30"/>
        </w:rPr>
        <w:t>3186</w:t>
      </w:r>
      <w:r>
        <w:rPr>
          <w:rFonts w:hint="eastAsia"/>
          <w:color w:val="0D0D0D"/>
          <w:spacing w:val="-5"/>
          <w:sz w:val="30"/>
        </w:rPr>
        <w:t>。课程开设顺序和周学时安排，学校可根据实际情况调整。</w:t>
      </w:r>
    </w:p>
    <w:p>
      <w:pPr>
        <w:widowControl/>
        <w:spacing w:line="360" w:lineRule="auto"/>
        <w:ind w:firstLine="580" w:firstLineChars="200"/>
        <w:rPr>
          <w:color w:val="0D0D0D"/>
          <w:spacing w:val="-5"/>
          <w:sz w:val="30"/>
        </w:rPr>
      </w:pPr>
      <w:r>
        <w:rPr>
          <w:rFonts w:hint="eastAsia"/>
          <w:color w:val="0D0D0D"/>
          <w:spacing w:val="-5"/>
          <w:sz w:val="30"/>
        </w:rPr>
        <w:t>公共基础课程学时占总学时的3</w:t>
      </w:r>
      <w:r>
        <w:rPr>
          <w:color w:val="0D0D0D"/>
          <w:spacing w:val="-5"/>
          <w:sz w:val="30"/>
        </w:rPr>
        <w:t>3.9</w:t>
      </w:r>
      <w:r>
        <w:rPr>
          <w:rFonts w:hint="eastAsia"/>
          <w:color w:val="0D0D0D"/>
          <w:spacing w:val="-5"/>
          <w:sz w:val="30"/>
        </w:rPr>
        <w:t>%，允许根据行业人才培养的实际需要在规定范围内适当调整，但必须保证学生修完公共基础课的必修内容和学时。</w:t>
      </w:r>
    </w:p>
    <w:p>
      <w:pPr>
        <w:widowControl/>
        <w:spacing w:line="360" w:lineRule="auto"/>
        <w:ind w:firstLine="580" w:firstLineChars="200"/>
        <w:rPr>
          <w:color w:val="0D0D0D"/>
          <w:spacing w:val="-5"/>
          <w:sz w:val="30"/>
        </w:rPr>
      </w:pPr>
      <w:r>
        <w:rPr>
          <w:rFonts w:hint="eastAsia"/>
          <w:color w:val="0D0D0D"/>
          <w:spacing w:val="-5"/>
          <w:sz w:val="30"/>
        </w:rPr>
        <w:t xml:space="preserve">在确保学时实习总量的前提下，可根据实际需要集中或分阶段安排实习时间，课程设置中设置了选修课，其学时数占总学时的比例为 </w:t>
      </w:r>
      <w:r>
        <w:rPr>
          <w:color w:val="0D0D0D"/>
          <w:spacing w:val="-5"/>
          <w:sz w:val="30"/>
        </w:rPr>
        <w:t>9</w:t>
      </w:r>
      <w:r>
        <w:rPr>
          <w:rFonts w:hint="eastAsia"/>
          <w:color w:val="0D0D0D"/>
          <w:spacing w:val="-5"/>
          <w:sz w:val="30"/>
        </w:rPr>
        <w:t>%。</w:t>
      </w:r>
    </w:p>
    <w:p>
      <w:pPr>
        <w:spacing w:line="480" w:lineRule="exact"/>
        <w:ind w:firstLine="562" w:firstLineChars="200"/>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（二）教学进度安排表</w:t>
      </w:r>
    </w:p>
    <w:tbl>
      <w:tblPr>
        <w:tblStyle w:val="7"/>
        <w:tblW w:w="9421" w:type="dxa"/>
        <w:tblInd w:w="0" w:type="dxa"/>
        <w:tblLayout w:type="autofit"/>
        <w:tblCellMar>
          <w:top w:w="0" w:type="dxa"/>
          <w:left w:w="108" w:type="dxa"/>
          <w:bottom w:w="0" w:type="dxa"/>
          <w:right w:w="108" w:type="dxa"/>
        </w:tblCellMar>
      </w:tblPr>
      <w:tblGrid>
        <w:gridCol w:w="958"/>
        <w:gridCol w:w="995"/>
        <w:gridCol w:w="463"/>
        <w:gridCol w:w="796"/>
        <w:gridCol w:w="1644"/>
        <w:gridCol w:w="537"/>
        <w:gridCol w:w="644"/>
        <w:gridCol w:w="644"/>
        <w:gridCol w:w="644"/>
        <w:gridCol w:w="430"/>
        <w:gridCol w:w="430"/>
        <w:gridCol w:w="430"/>
        <w:gridCol w:w="430"/>
        <w:gridCol w:w="430"/>
        <w:gridCol w:w="431"/>
      </w:tblGrid>
      <w:tr>
        <w:tblPrEx>
          <w:tblCellMar>
            <w:top w:w="0" w:type="dxa"/>
            <w:left w:w="108" w:type="dxa"/>
            <w:bottom w:w="0" w:type="dxa"/>
            <w:right w:w="108" w:type="dxa"/>
          </w:tblCellMar>
        </w:tblPrEx>
        <w:trPr>
          <w:trHeight w:val="389" w:hRule="atLeast"/>
        </w:trPr>
        <w:tc>
          <w:tcPr>
            <w:tcW w:w="2465" w:type="dxa"/>
            <w:gridSpan w:val="3"/>
            <w:vMerge w:val="restart"/>
            <w:tcBorders>
              <w:top w:val="single" w:color="auto" w:sz="4" w:space="0"/>
              <w:left w:val="nil"/>
              <w:bottom w:val="single" w:color="000000" w:sz="4" w:space="0"/>
              <w:right w:val="single" w:color="000000"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课程类型</w:t>
            </w:r>
          </w:p>
        </w:tc>
        <w:tc>
          <w:tcPr>
            <w:tcW w:w="81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序号</w:t>
            </w:r>
          </w:p>
        </w:tc>
        <w:tc>
          <w:tcPr>
            <w:tcW w:w="1683"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课程名称</w:t>
            </w:r>
          </w:p>
        </w:tc>
        <w:tc>
          <w:tcPr>
            <w:tcW w:w="51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学分</w:t>
            </w:r>
          </w:p>
        </w:tc>
        <w:tc>
          <w:tcPr>
            <w:tcW w:w="169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学时分配</w:t>
            </w:r>
          </w:p>
        </w:tc>
        <w:tc>
          <w:tcPr>
            <w:tcW w:w="2250" w:type="dxa"/>
            <w:gridSpan w:val="6"/>
            <w:tcBorders>
              <w:top w:val="single" w:color="auto" w:sz="4" w:space="0"/>
              <w:left w:val="nil"/>
              <w:bottom w:val="single" w:color="auto" w:sz="4" w:space="0"/>
              <w:right w:val="single" w:color="000000"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理论教学周数. 周课时数</w:t>
            </w:r>
          </w:p>
        </w:tc>
      </w:tr>
      <w:tr>
        <w:tblPrEx>
          <w:tblCellMar>
            <w:top w:w="0" w:type="dxa"/>
            <w:left w:w="108" w:type="dxa"/>
            <w:bottom w:w="0" w:type="dxa"/>
            <w:right w:w="108" w:type="dxa"/>
          </w:tblCellMar>
        </w:tblPrEx>
        <w:trPr>
          <w:trHeight w:val="389" w:hRule="atLeast"/>
        </w:trPr>
        <w:tc>
          <w:tcPr>
            <w:tcW w:w="2465" w:type="dxa"/>
            <w:gridSpan w:val="3"/>
            <w:vMerge w:val="continue"/>
            <w:tcBorders>
              <w:top w:val="single" w:color="auto" w:sz="4" w:space="0"/>
              <w:left w:val="nil"/>
              <w:bottom w:val="single" w:color="000000" w:sz="4" w:space="0"/>
              <w:right w:val="single" w:color="000000" w:sz="4" w:space="0"/>
            </w:tcBorders>
            <w:vAlign w:val="center"/>
          </w:tcPr>
          <w:p>
            <w:pPr>
              <w:widowControl/>
              <w:autoSpaceDE/>
              <w:autoSpaceDN/>
              <w:rPr>
                <w:color w:val="000000"/>
                <w:lang w:val="en-US" w:bidi="ar-SA"/>
              </w:rPr>
            </w:pPr>
          </w:p>
        </w:tc>
        <w:tc>
          <w:tcPr>
            <w:tcW w:w="811"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683"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519"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56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学时</w:t>
            </w:r>
          </w:p>
        </w:tc>
        <w:tc>
          <w:tcPr>
            <w:tcW w:w="56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理论</w:t>
            </w:r>
          </w:p>
        </w:tc>
        <w:tc>
          <w:tcPr>
            <w:tcW w:w="56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实践</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第一学年</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第二学年</w:t>
            </w:r>
          </w:p>
        </w:tc>
        <w:tc>
          <w:tcPr>
            <w:tcW w:w="7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第三学年</w:t>
            </w:r>
          </w:p>
        </w:tc>
      </w:tr>
      <w:tr>
        <w:tblPrEx>
          <w:tblCellMar>
            <w:top w:w="0" w:type="dxa"/>
            <w:left w:w="108" w:type="dxa"/>
            <w:bottom w:w="0" w:type="dxa"/>
            <w:right w:w="108" w:type="dxa"/>
          </w:tblCellMar>
        </w:tblPrEx>
        <w:trPr>
          <w:trHeight w:val="389" w:hRule="atLeast"/>
        </w:trPr>
        <w:tc>
          <w:tcPr>
            <w:tcW w:w="2465" w:type="dxa"/>
            <w:gridSpan w:val="3"/>
            <w:vMerge w:val="continue"/>
            <w:tcBorders>
              <w:top w:val="single" w:color="auto" w:sz="4" w:space="0"/>
              <w:left w:val="nil"/>
              <w:bottom w:val="single" w:color="000000" w:sz="4" w:space="0"/>
              <w:right w:val="single" w:color="000000" w:sz="4" w:space="0"/>
            </w:tcBorders>
            <w:vAlign w:val="center"/>
          </w:tcPr>
          <w:p>
            <w:pPr>
              <w:widowControl/>
              <w:autoSpaceDE/>
              <w:autoSpaceDN/>
              <w:rPr>
                <w:color w:val="000000"/>
                <w:lang w:val="en-US" w:bidi="ar-SA"/>
              </w:rPr>
            </w:pPr>
          </w:p>
        </w:tc>
        <w:tc>
          <w:tcPr>
            <w:tcW w:w="811"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683"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519" w:type="dxa"/>
            <w:vMerge w:val="continue"/>
            <w:tcBorders>
              <w:top w:val="single" w:color="auto" w:sz="4" w:space="0"/>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564"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564"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564"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一</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二</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三</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四</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五</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六</w:t>
            </w:r>
          </w:p>
        </w:tc>
      </w:tr>
      <w:tr>
        <w:tblPrEx>
          <w:tblCellMar>
            <w:top w:w="0" w:type="dxa"/>
            <w:left w:w="108" w:type="dxa"/>
            <w:bottom w:w="0" w:type="dxa"/>
            <w:right w:w="108" w:type="dxa"/>
          </w:tblCellMar>
        </w:tblPrEx>
        <w:trPr>
          <w:trHeight w:val="591" w:hRule="atLeast"/>
        </w:trPr>
        <w:tc>
          <w:tcPr>
            <w:tcW w:w="97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公共基础课</w:t>
            </w:r>
          </w:p>
        </w:tc>
        <w:tc>
          <w:tcPr>
            <w:tcW w:w="1017" w:type="dxa"/>
            <w:vMerge w:val="restart"/>
            <w:tcBorders>
              <w:top w:val="nil"/>
              <w:left w:val="nil"/>
              <w:bottom w:val="single" w:color="000000"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思想政治课</w:t>
            </w:r>
          </w:p>
        </w:tc>
        <w:tc>
          <w:tcPr>
            <w:tcW w:w="468" w:type="dxa"/>
            <w:vMerge w:val="restart"/>
            <w:tcBorders>
              <w:top w:val="nil"/>
              <w:left w:val="single" w:color="auto" w:sz="4" w:space="0"/>
              <w:bottom w:val="single" w:color="000000" w:sz="4" w:space="0"/>
              <w:right w:val="single" w:color="auto" w:sz="4" w:space="0"/>
            </w:tcBorders>
            <w:shd w:val="clear" w:color="auto" w:fill="auto"/>
            <w:vAlign w:val="center"/>
          </w:tcPr>
          <w:p>
            <w:pPr>
              <w:widowControl/>
              <w:autoSpaceDE/>
              <w:autoSpaceDN/>
              <w:jc w:val="center"/>
              <w:rPr>
                <w:color w:val="000000"/>
                <w:lang w:val="en-US" w:bidi="ar-SA"/>
              </w:rPr>
            </w:pPr>
            <w:r>
              <w:rPr>
                <w:rFonts w:hint="eastAsia"/>
                <w:color w:val="000000"/>
                <w:lang w:val="en-US" w:bidi="ar-SA"/>
              </w:rPr>
              <w:t>必修</w:t>
            </w: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习近平新时代中国特色社会主义思想学生读本</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中国特色社会主义</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心理健康与职业生涯</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哲学与人生</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5</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职业道德与法治</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小计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9</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162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162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restart"/>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文化基础课</w:t>
            </w:r>
          </w:p>
        </w:tc>
        <w:tc>
          <w:tcPr>
            <w:tcW w:w="468" w:type="dxa"/>
            <w:vMerge w:val="restart"/>
            <w:tcBorders>
              <w:top w:val="nil"/>
              <w:left w:val="single" w:color="auto" w:sz="4" w:space="0"/>
              <w:bottom w:val="nil"/>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必修</w:t>
            </w: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语文</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11</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198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198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nil"/>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数学</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nil"/>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外语</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nil"/>
              <w:right w:val="single" w:color="auto" w:sz="4" w:space="0"/>
            </w:tcBorders>
            <w:vAlign w:val="center"/>
          </w:tcPr>
          <w:p>
            <w:pPr>
              <w:widowControl/>
              <w:autoSpaceDE/>
              <w:autoSpaceDN/>
              <w:rPr>
                <w:color w:val="000000"/>
                <w:lang w:val="en-US" w:bidi="ar-SA"/>
              </w:rPr>
            </w:pPr>
          </w:p>
        </w:tc>
        <w:tc>
          <w:tcPr>
            <w:tcW w:w="811" w:type="dxa"/>
            <w:tcBorders>
              <w:top w:val="nil"/>
              <w:left w:val="nil"/>
              <w:bottom w:val="nil"/>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1683" w:type="dxa"/>
            <w:tcBorders>
              <w:top w:val="nil"/>
              <w:left w:val="nil"/>
              <w:bottom w:val="nil"/>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历史</w:t>
            </w:r>
          </w:p>
        </w:tc>
        <w:tc>
          <w:tcPr>
            <w:tcW w:w="519" w:type="dxa"/>
            <w:tcBorders>
              <w:top w:val="nil"/>
              <w:left w:val="nil"/>
              <w:bottom w:val="nil"/>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564" w:type="dxa"/>
            <w:tcBorders>
              <w:top w:val="nil"/>
              <w:left w:val="nil"/>
              <w:bottom w:val="nil"/>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564" w:type="dxa"/>
            <w:tcBorders>
              <w:top w:val="nil"/>
              <w:left w:val="nil"/>
              <w:bottom w:val="nil"/>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564" w:type="dxa"/>
            <w:tcBorders>
              <w:top w:val="nil"/>
              <w:left w:val="nil"/>
              <w:bottom w:val="nil"/>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nil"/>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nil"/>
              <w:right w:val="nil"/>
            </w:tcBorders>
            <w:shd w:val="clear" w:color="auto" w:fill="auto"/>
            <w:noWrap/>
            <w:vAlign w:val="center"/>
          </w:tcPr>
          <w:p>
            <w:pPr>
              <w:widowControl/>
              <w:autoSpaceDE/>
              <w:autoSpaceDN/>
              <w:jc w:val="right"/>
              <w:rPr>
                <w:color w:val="000000"/>
                <w:lang w:val="en-US" w:bidi="ar-SA"/>
              </w:rPr>
            </w:pPr>
          </w:p>
        </w:tc>
        <w:tc>
          <w:tcPr>
            <w:tcW w:w="375" w:type="dxa"/>
            <w:tcBorders>
              <w:top w:val="nil"/>
              <w:left w:val="single" w:color="auto" w:sz="4" w:space="0"/>
              <w:bottom w:val="nil"/>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nil"/>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nil"/>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nil"/>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nil"/>
              <w:right w:val="single" w:color="auto" w:sz="4" w:space="0"/>
            </w:tcBorders>
            <w:vAlign w:val="center"/>
          </w:tcPr>
          <w:p>
            <w:pPr>
              <w:widowControl/>
              <w:autoSpaceDE/>
              <w:autoSpaceDN/>
              <w:rPr>
                <w:color w:val="000000"/>
                <w:lang w:val="en-US" w:bidi="ar-SA"/>
              </w:rPr>
            </w:pPr>
          </w:p>
        </w:tc>
        <w:tc>
          <w:tcPr>
            <w:tcW w:w="81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5</w:t>
            </w:r>
          </w:p>
        </w:tc>
        <w:tc>
          <w:tcPr>
            <w:tcW w:w="1683"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信息技术</w:t>
            </w:r>
          </w:p>
        </w:tc>
        <w:tc>
          <w:tcPr>
            <w:tcW w:w="519"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144</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564"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7"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nil"/>
              <w:right w:val="single" w:color="auto" w:sz="4" w:space="0"/>
            </w:tcBorders>
            <w:vAlign w:val="center"/>
          </w:tcPr>
          <w:p>
            <w:pPr>
              <w:widowControl/>
              <w:autoSpaceDE/>
              <w:autoSpaceDN/>
              <w:rPr>
                <w:color w:val="000000"/>
                <w:lang w:val="en-US" w:bidi="ar-SA"/>
              </w:rPr>
            </w:pPr>
          </w:p>
        </w:tc>
        <w:tc>
          <w:tcPr>
            <w:tcW w:w="811" w:type="dxa"/>
            <w:tcBorders>
              <w:top w:val="nil"/>
              <w:left w:val="nil"/>
              <w:bottom w:val="nil"/>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6</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艺术</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204"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nil"/>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nil"/>
              <w:right w:val="single" w:color="auto" w:sz="4" w:space="0"/>
            </w:tcBorders>
            <w:vAlign w:val="center"/>
          </w:tcPr>
          <w:p>
            <w:pPr>
              <w:widowControl/>
              <w:autoSpaceDE/>
              <w:autoSpaceDN/>
              <w:rPr>
                <w:color w:val="000000"/>
                <w:lang w:val="en-US" w:bidi="ar-SA"/>
              </w:rPr>
            </w:pPr>
          </w:p>
        </w:tc>
        <w:tc>
          <w:tcPr>
            <w:tcW w:w="811"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color w:val="000000"/>
                <w:sz w:val="20"/>
                <w:szCs w:val="20"/>
                <w:lang w:val="en-US" w:bidi="ar-SA"/>
              </w:rPr>
            </w:pPr>
            <w:r>
              <w:rPr>
                <w:rFonts w:hint="eastAsia"/>
                <w:color w:val="000000"/>
                <w:sz w:val="20"/>
                <w:szCs w:val="20"/>
                <w:lang w:val="en-US" w:bidi="ar-SA"/>
              </w:rPr>
              <w:t>　</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0"/>
                <w:szCs w:val="20"/>
                <w:lang w:val="en-US" w:bidi="ar-SA"/>
              </w:rPr>
            </w:pPr>
            <w:r>
              <w:rPr>
                <w:rFonts w:hint="eastAsia"/>
                <w:color w:val="000000"/>
                <w:sz w:val="20"/>
                <w:szCs w:val="20"/>
                <w:lang w:val="en-US" w:bidi="ar-SA"/>
              </w:rPr>
              <w:t>小计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41</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738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564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12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10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3</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sz w:val="20"/>
                <w:szCs w:val="20"/>
                <w:lang w:val="en-US" w:bidi="ar-SA"/>
              </w:rPr>
            </w:pPr>
            <w:r>
              <w:rPr>
                <w:rFonts w:hint="eastAsia"/>
                <w:color w:val="000000"/>
                <w:sz w:val="20"/>
                <w:szCs w:val="20"/>
                <w:lang w:val="en-US" w:bidi="ar-SA"/>
              </w:rPr>
              <w:t>0</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1017"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其他</w:t>
            </w:r>
          </w:p>
        </w:tc>
        <w:tc>
          <w:tcPr>
            <w:tcW w:w="468" w:type="dxa"/>
            <w:tcBorders>
              <w:top w:val="single" w:color="auto" w:sz="4" w:space="0"/>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必修</w:t>
            </w: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1683"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体育与健康</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160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32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合计</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　</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60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1080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746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164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17</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5</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r>
      <w:tr>
        <w:tblPrEx>
          <w:tblCellMar>
            <w:top w:w="0" w:type="dxa"/>
            <w:left w:w="108" w:type="dxa"/>
            <w:bottom w:w="0" w:type="dxa"/>
            <w:right w:w="108" w:type="dxa"/>
          </w:tblCellMar>
        </w:tblPrEx>
        <w:trPr>
          <w:trHeight w:val="181" w:hRule="atLeast"/>
        </w:trPr>
        <w:tc>
          <w:tcPr>
            <w:tcW w:w="97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专业课</w:t>
            </w:r>
          </w:p>
        </w:tc>
        <w:tc>
          <w:tcPr>
            <w:tcW w:w="10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专业核心课</w:t>
            </w:r>
          </w:p>
        </w:tc>
        <w:tc>
          <w:tcPr>
            <w:tcW w:w="46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必修</w:t>
            </w: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0"/>
                <w:szCs w:val="20"/>
                <w:lang w:val="en-US" w:bidi="ar-SA"/>
              </w:rPr>
            </w:pPr>
            <w:r>
              <w:rPr>
                <w:rFonts w:hint="eastAsia"/>
                <w:color w:val="000000"/>
                <w:sz w:val="20"/>
                <w:szCs w:val="20"/>
                <w:lang w:val="en-US" w:bidi="ar-SA"/>
              </w:rPr>
              <w:t>基础会计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288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288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sz w:val="20"/>
                <w:szCs w:val="20"/>
                <w:lang w:val="en-US" w:bidi="ar-SA"/>
              </w:rPr>
            </w:pPr>
            <w:r>
              <w:rPr>
                <w:rFonts w:hint="eastAsia"/>
                <w:color w:val="000000"/>
                <w:sz w:val="20"/>
                <w:szCs w:val="20"/>
                <w:lang w:val="en-US" w:bidi="ar-SA"/>
              </w:rPr>
              <w:t>书法</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财务会计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216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216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成本会计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5</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rFonts w:hint="default" w:eastAsia="宋体"/>
                <w:color w:val="000000"/>
                <w:lang w:val="en-US" w:eastAsia="zh-CN" w:bidi="ar-SA"/>
              </w:rPr>
            </w:pPr>
            <w:r>
              <w:rPr>
                <w:rFonts w:hint="eastAsia"/>
                <w:color w:val="000000"/>
                <w:lang w:val="en-US" w:eastAsia="zh-CN" w:bidi="ar-SA"/>
              </w:rPr>
              <w:t>税收基础</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6</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经济法</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基础会计学测</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小计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792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专业技能课</w:t>
            </w:r>
          </w:p>
        </w:tc>
        <w:tc>
          <w:tcPr>
            <w:tcW w:w="46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必修</w:t>
            </w: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会计手工帐</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108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108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技能考试实训</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珠算点钞传票</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会计电算化</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5</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EXCEL财务应用</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6</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财务共享中心</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auto"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小计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432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432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专业选修课</w:t>
            </w:r>
          </w:p>
        </w:tc>
        <w:tc>
          <w:tcPr>
            <w:tcW w:w="46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选修</w:t>
            </w: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初级会计实务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经济法基础</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小计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288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r>
      <w:tr>
        <w:tblPrEx>
          <w:tblCellMar>
            <w:top w:w="0" w:type="dxa"/>
            <w:left w:w="108" w:type="dxa"/>
            <w:bottom w:w="0" w:type="dxa"/>
            <w:right w:w="108" w:type="dxa"/>
          </w:tblCellMar>
        </w:tblPrEx>
        <w:trPr>
          <w:trHeight w:val="181" w:hRule="atLeast"/>
        </w:trPr>
        <w:tc>
          <w:tcPr>
            <w:tcW w:w="97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实践课</w:t>
            </w:r>
          </w:p>
        </w:tc>
        <w:tc>
          <w:tcPr>
            <w:tcW w:w="1017"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实践课</w:t>
            </w:r>
          </w:p>
        </w:tc>
        <w:tc>
          <w:tcPr>
            <w:tcW w:w="468"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必修</w:t>
            </w: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168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入学教育</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w:t>
            </w:r>
          </w:p>
        </w:tc>
        <w:tc>
          <w:tcPr>
            <w:tcW w:w="168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军训</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w:t>
            </w:r>
          </w:p>
        </w:tc>
        <w:tc>
          <w:tcPr>
            <w:tcW w:w="168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毕业教育</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4</w:t>
            </w:r>
          </w:p>
        </w:tc>
        <w:tc>
          <w:tcPr>
            <w:tcW w:w="1683" w:type="dxa"/>
            <w:tcBorders>
              <w:top w:val="nil"/>
              <w:left w:val="nil"/>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顶岗实习</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540</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540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r>
      <w:tr>
        <w:tblPrEx>
          <w:tblCellMar>
            <w:top w:w="0" w:type="dxa"/>
            <w:left w:w="108" w:type="dxa"/>
            <w:bottom w:w="0" w:type="dxa"/>
            <w:right w:w="108" w:type="dxa"/>
          </w:tblCellMar>
        </w:tblPrEx>
        <w:trPr>
          <w:trHeight w:val="181" w:hRule="atLeast"/>
        </w:trPr>
        <w:tc>
          <w:tcPr>
            <w:tcW w:w="97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1017"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468" w:type="dxa"/>
            <w:vMerge w:val="continue"/>
            <w:tcBorders>
              <w:top w:val="nil"/>
              <w:left w:val="single" w:color="auto" w:sz="4" w:space="0"/>
              <w:bottom w:val="single" w:color="000000" w:sz="4" w:space="0"/>
              <w:right w:val="single" w:color="auto" w:sz="4" w:space="0"/>
            </w:tcBorders>
            <w:vAlign w:val="center"/>
          </w:tcPr>
          <w:p>
            <w:pPr>
              <w:widowControl/>
              <w:autoSpaceDE/>
              <w:autoSpaceDN/>
              <w:rPr>
                <w:color w:val="000000"/>
                <w:lang w:val="en-US" w:bidi="ar-SA"/>
              </w:rPr>
            </w:pPr>
          </w:p>
        </w:tc>
        <w:tc>
          <w:tcPr>
            <w:tcW w:w="811" w:type="dxa"/>
            <w:tcBorders>
              <w:top w:val="nil"/>
              <w:left w:val="nil"/>
              <w:bottom w:val="single" w:color="auto" w:sz="4" w:space="0"/>
              <w:right w:val="single" w:color="auto" w:sz="4" w:space="0"/>
            </w:tcBorders>
            <w:shd w:val="clear" w:color="auto" w:fill="auto"/>
            <w:noWrap/>
            <w:vAlign w:val="center"/>
          </w:tcPr>
          <w:p>
            <w:pPr>
              <w:widowControl/>
              <w:autoSpaceDE/>
              <w:autoSpaceDN/>
              <w:rPr>
                <w:color w:val="000000"/>
                <w:lang w:val="en-US" w:bidi="ar-SA"/>
              </w:rPr>
            </w:pPr>
            <w:r>
              <w:rPr>
                <w:rFonts w:hint="eastAsia"/>
                <w:color w:val="000000"/>
                <w:lang w:val="en-US" w:bidi="ar-SA"/>
              </w:rPr>
              <w:t>　</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小计</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33</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594</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558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r>
      <w:tr>
        <w:tblPrEx>
          <w:tblCellMar>
            <w:top w:w="0" w:type="dxa"/>
            <w:left w:w="108" w:type="dxa"/>
            <w:bottom w:w="0" w:type="dxa"/>
            <w:right w:w="108" w:type="dxa"/>
          </w:tblCellMar>
        </w:tblPrEx>
        <w:trPr>
          <w:trHeight w:val="181" w:hRule="atLeast"/>
        </w:trPr>
        <w:tc>
          <w:tcPr>
            <w:tcW w:w="32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合计</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　</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117</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2106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756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1062</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24</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r>
      <w:tr>
        <w:tblPrEx>
          <w:tblCellMar>
            <w:top w:w="0" w:type="dxa"/>
            <w:left w:w="108" w:type="dxa"/>
            <w:bottom w:w="0" w:type="dxa"/>
            <w:right w:w="108" w:type="dxa"/>
          </w:tblCellMar>
        </w:tblPrEx>
        <w:trPr>
          <w:trHeight w:val="181" w:hRule="atLeast"/>
        </w:trPr>
        <w:tc>
          <w:tcPr>
            <w:tcW w:w="32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utoSpaceDE/>
              <w:autoSpaceDN/>
              <w:jc w:val="center"/>
              <w:rPr>
                <w:color w:val="000000"/>
                <w:lang w:val="en-US" w:bidi="ar-SA"/>
              </w:rPr>
            </w:pPr>
            <w:r>
              <w:rPr>
                <w:rFonts w:hint="eastAsia"/>
                <w:color w:val="000000"/>
                <w:lang w:val="en-US" w:bidi="ar-SA"/>
              </w:rPr>
              <w:t>总计</w:t>
            </w:r>
          </w:p>
        </w:tc>
        <w:tc>
          <w:tcPr>
            <w:tcW w:w="1683" w:type="dxa"/>
            <w:tcBorders>
              <w:top w:val="nil"/>
              <w:left w:val="nil"/>
              <w:bottom w:val="single" w:color="auto" w:sz="4" w:space="0"/>
              <w:right w:val="single" w:color="auto" w:sz="4" w:space="0"/>
            </w:tcBorders>
            <w:shd w:val="clear" w:color="auto" w:fill="auto"/>
            <w:vAlign w:val="center"/>
          </w:tcPr>
          <w:p>
            <w:pPr>
              <w:widowControl/>
              <w:autoSpaceDE/>
              <w:autoSpaceDN/>
              <w:rPr>
                <w:color w:val="000000"/>
                <w:lang w:val="en-US" w:bidi="ar-SA"/>
              </w:rPr>
            </w:pPr>
            <w:r>
              <w:rPr>
                <w:rFonts w:hint="eastAsia"/>
                <w:color w:val="000000"/>
                <w:lang w:val="en-US" w:bidi="ar-SA"/>
              </w:rPr>
              <w:t>　</w:t>
            </w:r>
          </w:p>
        </w:tc>
        <w:tc>
          <w:tcPr>
            <w:tcW w:w="519"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177</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3186</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1502</w:t>
            </w:r>
          </w:p>
        </w:tc>
        <w:tc>
          <w:tcPr>
            <w:tcW w:w="564"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1226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31</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28</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30</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26</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29</w:t>
            </w:r>
          </w:p>
        </w:tc>
        <w:tc>
          <w:tcPr>
            <w:tcW w:w="375" w:type="dxa"/>
            <w:tcBorders>
              <w:top w:val="nil"/>
              <w:left w:val="nil"/>
              <w:bottom w:val="single" w:color="auto" w:sz="4" w:space="0"/>
              <w:right w:val="single" w:color="auto" w:sz="4" w:space="0"/>
            </w:tcBorders>
            <w:shd w:val="clear" w:color="auto" w:fill="auto"/>
            <w:noWrap/>
            <w:vAlign w:val="center"/>
          </w:tcPr>
          <w:p>
            <w:pPr>
              <w:widowControl/>
              <w:autoSpaceDE/>
              <w:autoSpaceDN/>
              <w:jc w:val="right"/>
              <w:rPr>
                <w:color w:val="000000"/>
                <w:lang w:val="en-US" w:bidi="ar-SA"/>
              </w:rPr>
            </w:pPr>
            <w:r>
              <w:rPr>
                <w:rFonts w:hint="eastAsia"/>
                <w:color w:val="000000"/>
                <w:lang w:val="en-US" w:bidi="ar-SA"/>
              </w:rPr>
              <w:t>0</w:t>
            </w:r>
          </w:p>
        </w:tc>
      </w:tr>
    </w:tbl>
    <w:p>
      <w:pPr>
        <w:pStyle w:val="3"/>
        <w:spacing w:before="121"/>
        <w:ind w:left="216"/>
        <w:rPr>
          <w:rFonts w:ascii="黑体" w:eastAsia="黑体"/>
        </w:rPr>
      </w:pPr>
    </w:p>
    <w:p>
      <w:pPr>
        <w:pStyle w:val="3"/>
        <w:spacing w:before="58"/>
        <w:jc w:val="right"/>
        <w:rPr>
          <w:rFonts w:ascii="黑体" w:eastAsia="黑体"/>
          <w:bCs/>
          <w:color w:val="0D0D0D"/>
          <w:sz w:val="18"/>
          <w:szCs w:val="18"/>
        </w:rPr>
      </w:pPr>
      <w:r>
        <w:rPr>
          <w:rFonts w:hint="eastAsia" w:ascii="黑体" w:eastAsia="黑体"/>
          <w:bCs/>
          <w:color w:val="0D0D0D"/>
          <w:sz w:val="18"/>
          <w:szCs w:val="18"/>
        </w:rPr>
        <w:t>教学进度安排表仅供参考，实际教学安排可能根据学校统一领导部署以及不同阶段学情进行调整</w:t>
      </w:r>
    </w:p>
    <w:p>
      <w:pPr>
        <w:pStyle w:val="3"/>
        <w:spacing w:before="121"/>
        <w:ind w:left="216"/>
        <w:rPr>
          <w:rFonts w:ascii="黑体" w:eastAsia="黑体"/>
          <w:color w:val="0D0D0D"/>
        </w:rPr>
      </w:pPr>
      <w:r>
        <w:rPr>
          <w:rFonts w:hint="eastAsia" w:ascii="黑体" w:eastAsia="黑体"/>
          <w:color w:val="0D0D0D"/>
        </w:rPr>
        <mc:AlternateContent>
          <mc:Choice Requires="wps">
            <w:drawing>
              <wp:anchor distT="0" distB="0" distL="114300" distR="114300" simplePos="0" relativeHeight="251664384" behindDoc="0" locked="0" layoutInCell="1" allowOverlap="1">
                <wp:simplePos x="0" y="0"/>
                <wp:positionH relativeFrom="page">
                  <wp:posOffset>7058025</wp:posOffset>
                </wp:positionH>
                <wp:positionV relativeFrom="paragraph">
                  <wp:posOffset>-653415</wp:posOffset>
                </wp:positionV>
                <wp:extent cx="4445" cy="7620"/>
                <wp:effectExtent l="0" t="0" r="0" b="0"/>
                <wp:wrapNone/>
                <wp:docPr id="8" name="矩形 50"/>
                <wp:cNvGraphicFramePr/>
                <a:graphic xmlns:a="http://schemas.openxmlformats.org/drawingml/2006/main">
                  <a:graphicData uri="http://schemas.microsoft.com/office/word/2010/wordprocessingShape">
                    <wps:wsp>
                      <wps:cNvSpPr/>
                      <wps:spPr>
                        <a:xfrm>
                          <a:off x="0" y="0"/>
                          <a:ext cx="4445" cy="7620"/>
                        </a:xfrm>
                        <a:prstGeom prst="rect">
                          <a:avLst/>
                        </a:prstGeom>
                        <a:solidFill>
                          <a:srgbClr val="000000"/>
                        </a:solidFill>
                        <a:ln>
                          <a:noFill/>
                        </a:ln>
                      </wps:spPr>
                      <wps:txbx>
                        <w:txbxContent>
                          <w:p>
                            <w:pPr>
                              <w:jc w:val="center"/>
                            </w:pPr>
                          </w:p>
                        </w:txbxContent>
                      </wps:txbx>
                      <wps:bodyPr upright="1"/>
                    </wps:wsp>
                  </a:graphicData>
                </a:graphic>
              </wp:anchor>
            </w:drawing>
          </mc:Choice>
          <mc:Fallback>
            <w:pict>
              <v:rect id="矩形 50" o:spid="_x0000_s1026" o:spt="1" style="position:absolute;left:0pt;margin-left:555.75pt;margin-top:-51.45pt;height:0.6pt;width:0.35pt;mso-position-horizontal-relative:page;z-index:251664384;mso-width-relative:page;mso-height-relative:page;" fillcolor="#000000" filled="t" stroked="f" coordsize="21600,21600" o:gfxdata="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7JuPXaAAAADwEAAA8AAAAAAAAAAQAgAAAAIgAAAGRycy9kb3ducmV2LnhtbFBLAQIUABQAAAAI&#10;AIdO4kB6tq5tsgEAAGYDAAAOAAAAAAAAAAEAIAAAACkBAABkcnMvZTJvRG9jLnhtbFBLBQYAAAAA&#10;BgAGAFkBAABNBQAAAAA=&#10;">
                <v:fill on="t" focussize="0,0"/>
                <v:stroke on="f"/>
                <v:imagedata o:title=""/>
                <o:lock v:ext="edit" aspectratio="f"/>
                <v:textbox>
                  <w:txbxContent>
                    <w:p>
                      <w:pPr>
                        <w:jc w:val="center"/>
                      </w:pPr>
                    </w:p>
                  </w:txbxContent>
                </v:textbox>
              </v:rect>
            </w:pict>
          </mc:Fallback>
        </mc:AlternateContent>
      </w:r>
      <w:bookmarkStart w:id="8" w:name="_bookmark11"/>
      <w:bookmarkEnd w:id="8"/>
      <w:r>
        <w:rPr>
          <w:rFonts w:hint="eastAsia" w:ascii="黑体" w:eastAsia="黑体"/>
          <w:color w:val="0D0D0D"/>
        </w:rPr>
        <w:t>八、实施保障</w:t>
      </w:r>
    </w:p>
    <w:p>
      <w:pPr>
        <w:pStyle w:val="3"/>
        <w:spacing w:before="36" w:line="388" w:lineRule="auto"/>
        <w:ind w:left="216" w:right="727"/>
        <w:jc w:val="both"/>
        <w:rPr>
          <w:b/>
          <w:bCs/>
          <w:color w:val="0D0D0D"/>
        </w:rPr>
      </w:pPr>
      <w:bookmarkStart w:id="9" w:name="_bookmark12"/>
      <w:bookmarkEnd w:id="9"/>
      <w:r>
        <w:rPr>
          <w:b/>
          <w:bCs/>
          <w:color w:val="0D0D0D"/>
        </w:rPr>
        <w:t>（一）师资队伍</w:t>
      </w:r>
    </w:p>
    <w:p>
      <w:pPr>
        <w:pStyle w:val="3"/>
        <w:spacing w:before="36" w:line="388" w:lineRule="auto"/>
        <w:ind w:left="216" w:right="727"/>
        <w:jc w:val="both"/>
        <w:rPr>
          <w:color w:val="0D0D0D"/>
          <w:lang w:val="en-US"/>
        </w:rPr>
      </w:pPr>
      <w:r>
        <w:rPr>
          <w:rFonts w:hint="eastAsia"/>
          <w:color w:val="0D0D0D"/>
          <w:lang w:val="en-US"/>
        </w:rPr>
        <w:t>1、具有中等学校及以上教师资格证书。</w:t>
      </w:r>
    </w:p>
    <w:p>
      <w:pPr>
        <w:pStyle w:val="3"/>
        <w:spacing w:before="36" w:line="388" w:lineRule="auto"/>
        <w:ind w:left="216" w:right="727"/>
        <w:jc w:val="both"/>
        <w:rPr>
          <w:color w:val="0D0D0D"/>
        </w:rPr>
      </w:pPr>
      <w:r>
        <w:rPr>
          <w:rFonts w:hint="eastAsia"/>
          <w:color w:val="0D0D0D"/>
          <w:lang w:val="en-US"/>
        </w:rPr>
        <w:t>2、</w:t>
      </w:r>
      <w:r>
        <w:rPr>
          <w:rFonts w:hint="eastAsia"/>
          <w:color w:val="0D0D0D"/>
        </w:rPr>
        <w:t>专业核心课程的教师应具有较强的实务工作能力。</w:t>
      </w:r>
    </w:p>
    <w:p>
      <w:pPr>
        <w:pStyle w:val="3"/>
        <w:spacing w:before="36" w:line="388" w:lineRule="auto"/>
        <w:ind w:left="216" w:right="727"/>
        <w:jc w:val="both"/>
        <w:rPr>
          <w:color w:val="0D0D0D"/>
        </w:rPr>
      </w:pPr>
      <w:r>
        <w:rPr>
          <w:rFonts w:hint="eastAsia"/>
          <w:color w:val="0D0D0D"/>
          <w:lang w:val="en-US"/>
        </w:rPr>
        <w:t>3、</w:t>
      </w:r>
      <w:r>
        <w:rPr>
          <w:rFonts w:hint="eastAsia"/>
          <w:color w:val="0D0D0D"/>
        </w:rPr>
        <w:t>良好的沟通能力、团队协作能力，较强的教学与教研能力。</w:t>
      </w:r>
    </w:p>
    <w:p>
      <w:pPr>
        <w:pStyle w:val="3"/>
        <w:spacing w:before="36" w:line="388" w:lineRule="auto"/>
        <w:ind w:left="216" w:right="727"/>
        <w:jc w:val="both"/>
        <w:rPr>
          <w:color w:val="0D0D0D"/>
        </w:rPr>
      </w:pPr>
      <w:r>
        <w:rPr>
          <w:rFonts w:hint="eastAsia"/>
          <w:color w:val="0D0D0D"/>
          <w:lang w:val="en-US"/>
        </w:rPr>
        <w:t>4、</w:t>
      </w:r>
      <w:r>
        <w:rPr>
          <w:rFonts w:hint="eastAsia"/>
          <w:color w:val="0D0D0D"/>
        </w:rPr>
        <w:t>具有专任教师</w:t>
      </w:r>
      <w:r>
        <w:rPr>
          <w:rFonts w:hint="eastAsia"/>
          <w:color w:val="0D0D0D"/>
          <w:lang w:val="en-US"/>
        </w:rPr>
        <w:t>2</w:t>
      </w:r>
      <w:r>
        <w:rPr>
          <w:color w:val="0D0D0D"/>
          <w:lang w:val="en-US"/>
        </w:rPr>
        <w:t>3</w:t>
      </w:r>
      <w:r>
        <w:rPr>
          <w:rFonts w:hint="eastAsia"/>
          <w:color w:val="0D0D0D"/>
        </w:rPr>
        <w:t>名，其中高级讲师5人，中级讲师1</w:t>
      </w:r>
      <w:r>
        <w:rPr>
          <w:color w:val="0D0D0D"/>
        </w:rPr>
        <w:t>4</w:t>
      </w:r>
      <w:r>
        <w:rPr>
          <w:rFonts w:hint="eastAsia"/>
          <w:color w:val="0D0D0D"/>
        </w:rPr>
        <w:t>人，助理讲师4人。</w:t>
      </w:r>
    </w:p>
    <w:p>
      <w:pPr>
        <w:pStyle w:val="3"/>
        <w:spacing w:before="34"/>
        <w:ind w:left="216"/>
        <w:rPr>
          <w:b/>
          <w:bCs/>
          <w:color w:val="0D0D0D"/>
        </w:rPr>
      </w:pPr>
      <w:bookmarkStart w:id="10" w:name="_bookmark13"/>
      <w:bookmarkEnd w:id="10"/>
      <w:r>
        <w:rPr>
          <w:b/>
          <w:bCs/>
          <w:color w:val="0D0D0D"/>
        </w:rPr>
        <w:t>（二）教学设施</w:t>
      </w:r>
    </w:p>
    <w:p>
      <w:pPr>
        <w:pStyle w:val="3"/>
        <w:spacing w:before="36" w:line="388" w:lineRule="auto"/>
        <w:ind w:left="216" w:right="727" w:firstLine="600" w:firstLineChars="200"/>
        <w:jc w:val="both"/>
        <w:rPr>
          <w:color w:val="0D0D0D"/>
          <w:lang w:val="en-US"/>
        </w:rPr>
      </w:pPr>
      <w:r>
        <w:rPr>
          <w:rFonts w:hint="eastAsia"/>
          <w:color w:val="0D0D0D"/>
          <w:lang w:val="en-US"/>
        </w:rPr>
        <w:t>依托我校现有机房设施开展信息化教学工作。</w:t>
      </w:r>
    </w:p>
    <w:p>
      <w:pPr>
        <w:pStyle w:val="3"/>
        <w:spacing w:before="36" w:line="388" w:lineRule="auto"/>
        <w:ind w:right="727" w:firstLine="301" w:firstLineChars="100"/>
        <w:jc w:val="both"/>
        <w:rPr>
          <w:b/>
          <w:bCs/>
          <w:color w:val="0D0D0D"/>
          <w:lang w:val="en-US"/>
        </w:rPr>
      </w:pPr>
      <w:r>
        <w:rPr>
          <w:rFonts w:hint="eastAsia"/>
          <w:b/>
          <w:bCs/>
          <w:color w:val="0D0D0D"/>
          <w:lang w:val="en-US"/>
        </w:rPr>
        <w:t>（三）教学资源</w:t>
      </w:r>
    </w:p>
    <w:p>
      <w:pPr>
        <w:pStyle w:val="3"/>
        <w:spacing w:before="36" w:line="388" w:lineRule="auto"/>
        <w:ind w:right="727" w:firstLine="300" w:firstLineChars="100"/>
        <w:jc w:val="both"/>
        <w:rPr>
          <w:color w:val="0D0D0D"/>
          <w:lang w:val="en-US"/>
        </w:rPr>
      </w:pPr>
      <w:r>
        <w:rPr>
          <w:color w:val="0D0D0D"/>
          <w:lang w:val="en-US"/>
        </w:rPr>
        <w:tab/>
      </w:r>
      <w:r>
        <w:rPr>
          <w:color w:val="0D0D0D"/>
          <w:lang w:val="en-US"/>
        </w:rPr>
        <w:t xml:space="preserve"> </w:t>
      </w:r>
      <w:r>
        <w:rPr>
          <w:rFonts w:hint="eastAsia"/>
          <w:color w:val="0D0D0D"/>
          <w:lang w:val="en-US"/>
        </w:rPr>
        <w:t>专业以高教社教材为主。</w:t>
      </w:r>
    </w:p>
    <w:p>
      <w:pPr>
        <w:pStyle w:val="3"/>
        <w:spacing w:before="36" w:line="388" w:lineRule="auto"/>
        <w:ind w:right="727" w:firstLine="301" w:firstLineChars="100"/>
        <w:jc w:val="both"/>
        <w:rPr>
          <w:b/>
          <w:bCs/>
          <w:color w:val="0D0D0D"/>
          <w:lang w:val="en-US"/>
        </w:rPr>
      </w:pPr>
      <w:r>
        <w:rPr>
          <w:rFonts w:hint="eastAsia"/>
          <w:b/>
          <w:bCs/>
          <w:color w:val="0D0D0D"/>
          <w:lang w:val="en-US"/>
        </w:rPr>
        <w:t>（四）教学方法</w:t>
      </w:r>
    </w:p>
    <w:p>
      <w:pPr>
        <w:widowControl/>
        <w:spacing w:line="360" w:lineRule="auto"/>
        <w:ind w:firstLine="580" w:firstLineChars="200"/>
        <w:rPr>
          <w:color w:val="0D0D0D"/>
          <w:spacing w:val="-5"/>
          <w:sz w:val="30"/>
        </w:rPr>
      </w:pPr>
      <w:r>
        <w:rPr>
          <w:color w:val="0D0D0D"/>
          <w:spacing w:val="-5"/>
          <w:sz w:val="30"/>
        </w:rPr>
        <w:tab/>
      </w:r>
      <w:r>
        <w:rPr>
          <w:rFonts w:hint="eastAsia"/>
          <w:color w:val="0D0D0D"/>
          <w:spacing w:val="-5"/>
          <w:sz w:val="30"/>
        </w:rPr>
        <w:t>专业课采用讲授法、练习法、自主学习法相结合的形式，专业课和实训课采用行动导向教学法、案例教学法、现场教学法、任务驱动法相结合的形式。专业课和实训课的教学方法说明如下：</w:t>
      </w:r>
    </w:p>
    <w:p>
      <w:pPr>
        <w:widowControl/>
        <w:spacing w:line="360" w:lineRule="auto"/>
        <w:ind w:firstLine="580" w:firstLineChars="200"/>
        <w:rPr>
          <w:color w:val="0D0D0D"/>
          <w:spacing w:val="-5"/>
          <w:sz w:val="30"/>
        </w:rPr>
      </w:pPr>
      <w:r>
        <w:rPr>
          <w:rFonts w:hint="eastAsia"/>
          <w:color w:val="0D0D0D"/>
          <w:spacing w:val="-5"/>
          <w:sz w:val="30"/>
        </w:rPr>
        <w:t>1.行动导向教学法</w:t>
      </w:r>
    </w:p>
    <w:p>
      <w:pPr>
        <w:widowControl/>
        <w:spacing w:line="360" w:lineRule="auto"/>
        <w:ind w:firstLine="580" w:firstLineChars="200"/>
        <w:rPr>
          <w:color w:val="0D0D0D"/>
          <w:spacing w:val="-5"/>
          <w:sz w:val="30"/>
        </w:rPr>
      </w:pPr>
      <w:r>
        <w:rPr>
          <w:rFonts w:hint="eastAsia"/>
          <w:color w:val="0D0D0D"/>
          <w:spacing w:val="-5"/>
          <w:sz w:val="30"/>
        </w:rPr>
        <w:t>根据本专业所开设的课程特点，采取行动导向教学模式，采用项目教学法、案例教学、场景教学、模拟教学等创新性教学方法，立足于培养学生的综合职业能力，坚持“教学做”一体，使学生“做中学”，快乐学习。通过文字、图片、影片，场景等等来吸引学生主动参与</w:t>
      </w:r>
      <w:r>
        <w:rPr>
          <w:color w:val="0D0D0D"/>
          <w:spacing w:val="-5"/>
          <w:sz w:val="30"/>
        </w:rPr>
        <w:t> </w:t>
      </w:r>
      <w:r>
        <w:rPr>
          <w:rFonts w:hint="eastAsia"/>
          <w:color w:val="0D0D0D"/>
          <w:spacing w:val="-5"/>
          <w:sz w:val="30"/>
        </w:rPr>
        <w:t>，教学活动的主体是学生，让学生动起来，积极参与到教学过程中，这不仅有助于更好地理解知识，更主要的是激发学生的生命活力，促进学生成长的需要。</w:t>
      </w:r>
    </w:p>
    <w:p>
      <w:pPr>
        <w:widowControl/>
        <w:spacing w:line="360" w:lineRule="auto"/>
        <w:ind w:firstLine="580" w:firstLineChars="200"/>
        <w:rPr>
          <w:color w:val="0D0D0D"/>
          <w:spacing w:val="-5"/>
          <w:sz w:val="30"/>
        </w:rPr>
      </w:pPr>
      <w:r>
        <w:rPr>
          <w:rFonts w:hint="eastAsia"/>
          <w:color w:val="0D0D0D"/>
          <w:spacing w:val="-5"/>
          <w:sz w:val="30"/>
        </w:rPr>
        <w:t>2.案例教学法</w:t>
      </w:r>
    </w:p>
    <w:p>
      <w:pPr>
        <w:widowControl/>
        <w:spacing w:line="360" w:lineRule="auto"/>
        <w:ind w:firstLine="580" w:firstLineChars="200"/>
        <w:rPr>
          <w:color w:val="0D0D0D"/>
          <w:spacing w:val="-5"/>
          <w:sz w:val="30"/>
        </w:rPr>
      </w:pPr>
      <w:r>
        <w:rPr>
          <w:rFonts w:hint="eastAsia"/>
          <w:color w:val="0D0D0D"/>
          <w:spacing w:val="-5"/>
          <w:sz w:val="30"/>
        </w:rPr>
        <w:t>案例教学是在学生掌握了有关基本知识和分析技术的基础上,在教师的精心策划和指导下,根据教学目的和教学内容的要求,通过设置一个具体案例,引导学生参与分析、讨论、表达等活动,将学生带入特定事件的现场进行案例分析,让学生在具体的问题情境中积极思考、主动探索。通过学生的独立思考或集体协作,进一步提高其识别、分析和解决某一具体问题的能力,同时培养正确的工作作风、沟通能力和协作精神的教学方式。在计算机专业所开设的课程中运用案例教学,有助于提高学生分析问题、解决实际问题的能力;有助于激发学生的学习兴趣,</w:t>
      </w:r>
      <w:r>
        <w:rPr>
          <w:color w:val="0D0D0D"/>
          <w:spacing w:val="-5"/>
          <w:sz w:val="30"/>
        </w:rPr>
        <w:t> </w:t>
      </w:r>
      <w:r>
        <w:rPr>
          <w:rFonts w:hint="eastAsia"/>
          <w:color w:val="0D0D0D"/>
          <w:spacing w:val="-5"/>
          <w:sz w:val="30"/>
        </w:rPr>
        <w:t>培养学生自主学习的能力;有助于培养学生的沟通、合作能力,提高人际交往能力;有助于培养学生良好的职业道德;有助于提高学生的分析问题和解决问题的能力。实施案例教学法一般采用课堂讲授方式和课堂讨论方式两种。通过实践证明，课堂讨论更能吸引学生的关注和兴趣、更能体现案例教学法的优势。</w:t>
      </w:r>
    </w:p>
    <w:p>
      <w:pPr>
        <w:widowControl/>
        <w:spacing w:line="360" w:lineRule="auto"/>
        <w:ind w:firstLine="580" w:firstLineChars="200"/>
        <w:rPr>
          <w:color w:val="0D0D0D"/>
          <w:spacing w:val="-5"/>
          <w:sz w:val="30"/>
        </w:rPr>
      </w:pPr>
      <w:r>
        <w:rPr>
          <w:rFonts w:hint="eastAsia"/>
          <w:color w:val="0D0D0D"/>
          <w:spacing w:val="-5"/>
          <w:sz w:val="30"/>
        </w:rPr>
        <w:t>3.现场教学法（做中学，学中做）</w:t>
      </w:r>
    </w:p>
    <w:p>
      <w:pPr>
        <w:widowControl/>
        <w:spacing w:line="360" w:lineRule="auto"/>
        <w:ind w:firstLine="580" w:firstLineChars="200"/>
        <w:rPr>
          <w:color w:val="0D0D0D"/>
          <w:spacing w:val="-5"/>
          <w:sz w:val="30"/>
        </w:rPr>
      </w:pPr>
      <w:r>
        <w:rPr>
          <w:rFonts w:hint="eastAsia"/>
          <w:color w:val="0D0D0D"/>
          <w:spacing w:val="-5"/>
          <w:sz w:val="30"/>
        </w:rPr>
        <w:t>在校企合作企业相应岗位开展现场教学。学校安排兼职实习指导教师负责指导学生进行现场教学及顶岗实习；合作企业协助校方负责学生在实习基地的思想政治教育、职业道德教育、安全生产教育及关心生活等方面管理；并公正合理地对学生顶岗实习作出鉴定意见、并进行成绩评定。</w:t>
      </w:r>
    </w:p>
    <w:p>
      <w:pPr>
        <w:pStyle w:val="4"/>
        <w:spacing w:line="360" w:lineRule="auto"/>
        <w:ind w:firstLine="420"/>
        <w:rPr>
          <w:rFonts w:ascii="宋体" w:hAnsi="宋体" w:eastAsia="宋体" w:cs="宋体"/>
          <w:color w:val="0D0D0D"/>
          <w:spacing w:val="-5"/>
          <w:kern w:val="0"/>
          <w:sz w:val="30"/>
          <w:szCs w:val="22"/>
          <w:lang w:val="zh-CN" w:bidi="zh-CN"/>
        </w:rPr>
      </w:pPr>
      <w:r>
        <w:rPr>
          <w:rFonts w:hint="eastAsia" w:ascii="宋体" w:hAnsi="宋体" w:eastAsia="宋体" w:cs="宋体"/>
          <w:color w:val="0D0D0D"/>
          <w:spacing w:val="-5"/>
          <w:kern w:val="0"/>
          <w:sz w:val="30"/>
          <w:szCs w:val="22"/>
          <w:lang w:val="zh-CN" w:bidi="zh-CN"/>
        </w:rPr>
        <w:t>4.任务驱动法</w:t>
      </w:r>
    </w:p>
    <w:p>
      <w:pPr>
        <w:pStyle w:val="4"/>
        <w:spacing w:line="360" w:lineRule="auto"/>
        <w:ind w:firstLine="420"/>
        <w:rPr>
          <w:rFonts w:ascii="宋体" w:hAnsi="宋体" w:eastAsia="宋体" w:cs="宋体"/>
          <w:color w:val="0D0D0D"/>
          <w:spacing w:val="-5"/>
          <w:kern w:val="0"/>
          <w:sz w:val="30"/>
          <w:szCs w:val="22"/>
          <w:lang w:val="zh-CN" w:bidi="zh-CN"/>
        </w:rPr>
      </w:pPr>
      <w:r>
        <w:rPr>
          <w:rFonts w:hint="eastAsia" w:ascii="宋体" w:hAnsi="宋体" w:eastAsia="宋体" w:cs="宋体"/>
          <w:color w:val="0D0D0D"/>
          <w:spacing w:val="-5"/>
          <w:kern w:val="0"/>
          <w:sz w:val="30"/>
          <w:szCs w:val="22"/>
          <w:lang w:val="zh-CN" w:bidi="zh-CN"/>
        </w:rPr>
        <w:t>教师给学生布置探究性的学习任务，学生查阅资料，对知识体系进行整理，再选出代表进行讲解，最后由教师进行总结。任务驱动教学法可以以小组为单位进行，也可以以个人为单位组织进行，它要求教师布置任务要具体，刻也学生要极积提问，以达到共同学习的目的。</w:t>
      </w:r>
    </w:p>
    <w:p>
      <w:pPr>
        <w:widowControl/>
        <w:spacing w:line="360" w:lineRule="auto"/>
        <w:ind w:firstLine="580" w:firstLineChars="200"/>
        <w:rPr>
          <w:color w:val="0D0D0D"/>
          <w:spacing w:val="-5"/>
          <w:sz w:val="30"/>
        </w:rPr>
      </w:pPr>
      <w:r>
        <w:rPr>
          <w:rFonts w:hint="eastAsia"/>
          <w:color w:val="0D0D0D"/>
          <w:spacing w:val="-5"/>
          <w:sz w:val="30"/>
        </w:rPr>
        <w:t>专业指导教师及时把握学生顶岗实习与社会实践不同阶段的思想变化，加强学生思想疏导工作，及时与企业沟通学生想法，解决学生遇到的问题或困难，帮助学生实现从校园到职场的过渡。</w:t>
      </w:r>
    </w:p>
    <w:p>
      <w:pPr>
        <w:widowControl/>
        <w:spacing w:line="360" w:lineRule="auto"/>
        <w:ind w:firstLine="580" w:firstLineChars="200"/>
        <w:rPr>
          <w:color w:val="0D0D0D"/>
          <w:spacing w:val="-5"/>
          <w:sz w:val="30"/>
        </w:rPr>
      </w:pPr>
      <w:r>
        <w:rPr>
          <w:rFonts w:hint="eastAsia"/>
          <w:color w:val="0D0D0D"/>
          <w:spacing w:val="-5"/>
          <w:sz w:val="30"/>
        </w:rPr>
        <w:t>专业指导教师应结合实习、实践企业的特点展开针对性指导，从企业的特色出发，引导学生认知岗位和适应岗位、行业工作，并全面展开实习、实训活动。对于部分培训体系不够健全的企业，指导教师应加强与企业的沟通，与企业指导老师积极合作，推动实习、实践方案的有效实施。</w:t>
      </w:r>
    </w:p>
    <w:p>
      <w:pPr>
        <w:pStyle w:val="3"/>
        <w:spacing w:before="36" w:line="360" w:lineRule="auto"/>
        <w:ind w:right="727" w:firstLine="290" w:firstLineChars="100"/>
        <w:jc w:val="both"/>
        <w:rPr>
          <w:color w:val="0D0D0D"/>
          <w:spacing w:val="-5"/>
          <w:szCs w:val="22"/>
        </w:rPr>
      </w:pPr>
      <w:r>
        <w:rPr>
          <w:rFonts w:hint="eastAsia"/>
          <w:color w:val="0D0D0D"/>
          <w:spacing w:val="-5"/>
          <w:szCs w:val="22"/>
        </w:rPr>
        <w:t>（五）学习评价</w:t>
      </w:r>
    </w:p>
    <w:p>
      <w:pPr>
        <w:widowControl/>
        <w:spacing w:line="360" w:lineRule="auto"/>
        <w:ind w:firstLine="420"/>
        <w:rPr>
          <w:color w:val="0D0D0D"/>
          <w:spacing w:val="-5"/>
          <w:sz w:val="30"/>
        </w:rPr>
      </w:pPr>
      <w:r>
        <w:rPr>
          <w:rFonts w:hint="eastAsia"/>
          <w:color w:val="0D0D0D"/>
          <w:spacing w:val="-5"/>
          <w:sz w:val="30"/>
        </w:rPr>
        <w:t>由校内任课教师与企业导师共同组成的考核小组。把学生综合评价分为校内教学评价和校外实习实训评价，其中校内教学评价占70%，校外实习实训评价占30%。校内教学评价包含技能实训模块考核、理论考试成绩考核、日常表现考核，各占40%、20%、40%。校内评价每学期分两次考核。校外顶岗实习考核包含企业评价和实习辅导老师评价，各占70%和30%。</w:t>
      </w:r>
    </w:p>
    <w:p>
      <w:pPr>
        <w:pStyle w:val="4"/>
        <w:spacing w:line="360" w:lineRule="auto"/>
        <w:ind w:firstLine="420"/>
        <w:rPr>
          <w:rFonts w:ascii="宋体" w:hAnsi="宋体" w:eastAsia="宋体" w:cs="宋体"/>
          <w:color w:val="0D0D0D"/>
          <w:spacing w:val="-5"/>
          <w:kern w:val="0"/>
          <w:sz w:val="30"/>
          <w:szCs w:val="22"/>
          <w:lang w:val="zh-CN" w:bidi="zh-CN"/>
        </w:rPr>
      </w:pPr>
      <w:r>
        <w:rPr>
          <w:rFonts w:hint="eastAsia" w:ascii="宋体" w:hAnsi="宋体" w:eastAsia="宋体" w:cs="宋体"/>
          <w:color w:val="0D0D0D"/>
          <w:spacing w:val="-5"/>
          <w:kern w:val="0"/>
          <w:sz w:val="30"/>
          <w:szCs w:val="22"/>
          <w:lang w:val="zh-CN" w:bidi="zh-CN"/>
        </w:rPr>
        <w:t>利用学生成绩评价系统，对学生的成绩进行动态跟踪，比较学生成绩的变化轨迹，探索增值性评价。</w:t>
      </w:r>
    </w:p>
    <w:p>
      <w:pPr>
        <w:widowControl/>
        <w:spacing w:line="360" w:lineRule="auto"/>
        <w:ind w:firstLine="420"/>
        <w:rPr>
          <w:color w:val="0D0D0D"/>
          <w:spacing w:val="-5"/>
          <w:sz w:val="30"/>
        </w:rPr>
      </w:pPr>
      <w:r>
        <w:rPr>
          <w:rFonts w:hint="eastAsia"/>
          <w:color w:val="0D0D0D"/>
          <w:spacing w:val="-5"/>
          <w:sz w:val="30"/>
        </w:rPr>
        <w:t>1.文化及专业理论课程考核</w:t>
      </w:r>
    </w:p>
    <w:p>
      <w:pPr>
        <w:widowControl/>
        <w:spacing w:line="360" w:lineRule="auto"/>
        <w:ind w:firstLine="420"/>
        <w:rPr>
          <w:color w:val="0D0D0D"/>
          <w:spacing w:val="-5"/>
          <w:sz w:val="30"/>
        </w:rPr>
      </w:pPr>
      <w:r>
        <w:rPr>
          <w:rFonts w:hint="eastAsia"/>
          <w:color w:val="0D0D0D"/>
          <w:spacing w:val="-5"/>
          <w:sz w:val="30"/>
        </w:rPr>
        <w:t>在课程教学评价中，采用教师评价、学生自评、学生互评等评价方式，文化基础课程以专业理论课程考核成绩和平时表现考核为主，各占50%，专业课程以课题完成情况和学习态度考核为主。</w:t>
      </w:r>
    </w:p>
    <w:p>
      <w:pPr>
        <w:widowControl/>
        <w:spacing w:line="360" w:lineRule="auto"/>
        <w:ind w:firstLine="420"/>
        <w:rPr>
          <w:color w:val="0D0D0D"/>
          <w:spacing w:val="-5"/>
          <w:sz w:val="30"/>
        </w:rPr>
      </w:pPr>
      <w:r>
        <w:rPr>
          <w:rFonts w:hint="eastAsia"/>
          <w:color w:val="0D0D0D"/>
          <w:spacing w:val="-5"/>
          <w:sz w:val="30"/>
        </w:rPr>
        <w:t>以对知识的理解和运用实行过程考评与期末考评相结合的综合评定方法。过程考评50分（教师评价30分，学生自评10分，学生互评10分）；期末考评（卷面考评）50分。</w:t>
      </w:r>
    </w:p>
    <w:p>
      <w:pPr>
        <w:widowControl/>
        <w:spacing w:line="360" w:lineRule="auto"/>
        <w:ind w:firstLine="420"/>
        <w:rPr>
          <w:color w:val="0D0D0D"/>
          <w:spacing w:val="-5"/>
          <w:sz w:val="30"/>
        </w:rPr>
      </w:pPr>
      <w:r>
        <w:rPr>
          <w:rFonts w:hint="eastAsia"/>
          <w:color w:val="0D0D0D"/>
          <w:spacing w:val="-5"/>
          <w:sz w:val="30"/>
        </w:rPr>
        <w:t>2.实训教学考核</w:t>
      </w:r>
    </w:p>
    <w:p>
      <w:pPr>
        <w:widowControl/>
        <w:spacing w:line="360" w:lineRule="auto"/>
        <w:ind w:firstLine="420"/>
        <w:rPr>
          <w:color w:val="0D0D0D"/>
          <w:spacing w:val="-5"/>
          <w:sz w:val="30"/>
        </w:rPr>
      </w:pPr>
      <w:r>
        <w:rPr>
          <w:rFonts w:hint="eastAsia"/>
          <w:color w:val="0D0D0D"/>
          <w:spacing w:val="-5"/>
          <w:sz w:val="30"/>
        </w:rPr>
        <w:t>采用校外评价与校内评价相结合，校内教学评价包含技能实训模块考核、理论考试成绩考核、日常表现考核，各占40%、20%、40%。校内评价每学期分两次考核。校外评价包含企业评价和实习辅导老师评价，各占70%和30%。</w:t>
      </w:r>
    </w:p>
    <w:p>
      <w:pPr>
        <w:widowControl/>
        <w:spacing w:line="360" w:lineRule="auto"/>
        <w:ind w:firstLine="420"/>
        <w:rPr>
          <w:color w:val="0D0D0D"/>
          <w:spacing w:val="-5"/>
          <w:sz w:val="30"/>
        </w:rPr>
      </w:pPr>
      <w:r>
        <w:rPr>
          <w:rFonts w:hint="eastAsia"/>
          <w:color w:val="0D0D0D"/>
          <w:spacing w:val="-5"/>
          <w:sz w:val="30"/>
        </w:rPr>
        <w:t>3.顶岗实习考核</w:t>
      </w:r>
    </w:p>
    <w:p>
      <w:pPr>
        <w:widowControl/>
        <w:spacing w:line="360" w:lineRule="auto"/>
        <w:ind w:firstLine="420"/>
        <w:rPr>
          <w:color w:val="0D0D0D"/>
          <w:spacing w:val="-5"/>
          <w:sz w:val="30"/>
        </w:rPr>
      </w:pPr>
      <w:r>
        <w:rPr>
          <w:rFonts w:hint="eastAsia"/>
          <w:color w:val="0D0D0D"/>
          <w:spacing w:val="-5"/>
          <w:sz w:val="30"/>
        </w:rPr>
        <w:t>以企业评价（企业主管、企业指导教师）为主，结合学生自评、实习报告、实习带队教师考评。</w:t>
      </w:r>
    </w:p>
    <w:p>
      <w:pPr>
        <w:widowControl/>
        <w:spacing w:line="360" w:lineRule="auto"/>
        <w:ind w:firstLine="420"/>
        <w:rPr>
          <w:color w:val="0D0D0D"/>
          <w:spacing w:val="-5"/>
          <w:sz w:val="30"/>
        </w:rPr>
      </w:pPr>
      <w:r>
        <w:rPr>
          <w:rFonts w:hint="eastAsia"/>
          <w:color w:val="0D0D0D"/>
          <w:spacing w:val="-5"/>
          <w:sz w:val="30"/>
        </w:rPr>
        <w:t>（1）企业考核：占考核成绩40%，由企业根据学生在企业的工作态度和掌握的专业技能进行综合评定。</w:t>
      </w:r>
    </w:p>
    <w:p>
      <w:pPr>
        <w:widowControl/>
        <w:spacing w:line="360" w:lineRule="auto"/>
        <w:ind w:firstLine="420"/>
        <w:rPr>
          <w:color w:val="0D0D0D"/>
          <w:spacing w:val="-5"/>
          <w:sz w:val="30"/>
        </w:rPr>
      </w:pPr>
      <w:r>
        <w:rPr>
          <w:rFonts w:hint="eastAsia"/>
          <w:color w:val="0D0D0D"/>
          <w:spacing w:val="-5"/>
          <w:sz w:val="30"/>
        </w:rPr>
        <w:t>（2）学生自评：占考核成绩20%，由学生根据自己在企业的工作态度和掌握的专业技能进行综合评定。</w:t>
      </w:r>
    </w:p>
    <w:p>
      <w:pPr>
        <w:widowControl/>
        <w:spacing w:line="360" w:lineRule="auto"/>
        <w:ind w:firstLine="420"/>
        <w:rPr>
          <w:color w:val="0D0D0D"/>
          <w:spacing w:val="-5"/>
          <w:sz w:val="30"/>
        </w:rPr>
      </w:pPr>
      <w:r>
        <w:rPr>
          <w:rFonts w:hint="eastAsia"/>
          <w:color w:val="0D0D0D"/>
          <w:spacing w:val="-5"/>
          <w:sz w:val="30"/>
        </w:rPr>
        <w:t>（3）实习报告：占考核成绩20％，根据学生总结能力予以评定。实习报告中包括实习计划的执行情况、质量分析与评估、存在问题与解决措施、经验体会与建议等。</w:t>
      </w:r>
    </w:p>
    <w:p>
      <w:pPr>
        <w:widowControl/>
        <w:spacing w:line="360" w:lineRule="auto"/>
        <w:ind w:firstLine="420"/>
        <w:rPr>
          <w:color w:val="0D0D0D"/>
          <w:spacing w:val="-5"/>
          <w:sz w:val="30"/>
        </w:rPr>
      </w:pPr>
      <w:r>
        <w:rPr>
          <w:rFonts w:hint="eastAsia"/>
          <w:color w:val="0D0D0D"/>
          <w:spacing w:val="-5"/>
          <w:sz w:val="30"/>
        </w:rPr>
        <w:t>（4）实习带队教师考评：占考核成绩20%，由带队教师根据学生在企业的工作态度、遵守纪律和掌握的专业技能进行综合评定。</w:t>
      </w:r>
    </w:p>
    <w:p>
      <w:pPr>
        <w:pStyle w:val="3"/>
        <w:spacing w:before="34" w:line="360" w:lineRule="auto"/>
        <w:ind w:left="216"/>
        <w:rPr>
          <w:color w:val="0D0D0D"/>
          <w:spacing w:val="-5"/>
          <w:szCs w:val="22"/>
        </w:rPr>
      </w:pPr>
      <w:r>
        <w:rPr>
          <w:rFonts w:hint="eastAsia"/>
          <w:color w:val="0D0D0D"/>
          <w:spacing w:val="-5"/>
          <w:szCs w:val="22"/>
        </w:rPr>
        <w:t>（六）质量管理</w:t>
      </w:r>
    </w:p>
    <w:p>
      <w:pPr>
        <w:widowControl/>
        <w:spacing w:line="360" w:lineRule="auto"/>
        <w:ind w:firstLine="420"/>
        <w:rPr>
          <w:color w:val="0D0D0D"/>
          <w:spacing w:val="-5"/>
          <w:sz w:val="30"/>
        </w:rPr>
      </w:pPr>
      <w:r>
        <w:rPr>
          <w:rFonts w:hint="eastAsia"/>
          <w:color w:val="0D0D0D"/>
          <w:spacing w:val="-5"/>
          <w:sz w:val="30"/>
        </w:rPr>
        <w:t>1.强化教学工作中心地位</w:t>
      </w:r>
    </w:p>
    <w:p>
      <w:pPr>
        <w:widowControl/>
        <w:spacing w:line="360" w:lineRule="auto"/>
        <w:ind w:firstLine="580" w:firstLineChars="200"/>
        <w:rPr>
          <w:color w:val="0D0D0D"/>
          <w:spacing w:val="-5"/>
          <w:sz w:val="30"/>
        </w:rPr>
      </w:pPr>
      <w:r>
        <w:rPr>
          <w:rFonts w:hint="eastAsia"/>
          <w:color w:val="0D0D0D"/>
          <w:spacing w:val="-5"/>
          <w:sz w:val="30"/>
        </w:rPr>
        <w:t>校长为学校教学第一责任人，专业负责人为本专业教学第一责任人，专业负责人和专业带头人共同负责本专业教育教学工作。学校应加大对专业教学的投入和管理，确保专业教学有序运行。专业负责人和专业带头人要加强本专业建设总体设计，负责本专业教育教学与改革具体组织实施，确保专业人才培养质量。</w:t>
      </w:r>
    </w:p>
    <w:p>
      <w:pPr>
        <w:widowControl/>
        <w:spacing w:line="360" w:lineRule="auto"/>
        <w:ind w:firstLine="420"/>
        <w:rPr>
          <w:color w:val="0D0D0D"/>
          <w:spacing w:val="-5"/>
          <w:sz w:val="30"/>
        </w:rPr>
      </w:pPr>
      <w:r>
        <w:rPr>
          <w:rFonts w:hint="eastAsia"/>
          <w:color w:val="0D0D0D"/>
          <w:spacing w:val="-5"/>
          <w:sz w:val="30"/>
        </w:rPr>
        <w:t>2.教学管理组织机构与运行</w:t>
      </w:r>
    </w:p>
    <w:p>
      <w:pPr>
        <w:widowControl/>
        <w:spacing w:line="360" w:lineRule="auto"/>
        <w:ind w:firstLine="420"/>
        <w:rPr>
          <w:color w:val="0D0D0D"/>
          <w:spacing w:val="-5"/>
          <w:sz w:val="30"/>
        </w:rPr>
      </w:pPr>
      <w:r>
        <w:rPr>
          <w:rFonts w:hint="eastAsia"/>
          <w:color w:val="0D0D0D"/>
          <w:spacing w:val="-5"/>
          <w:sz w:val="30"/>
        </w:rPr>
        <w:t>学校要根据办学规模和实际需要，设立教务、实训实习、教研等教学管理和研究机构，配备与学校规模相适应的教学管理和研究人员；要完善各级管理机构的管理职责，完善管理人员、教师及教辅人员的岗位职责，完善包括教学文件、教学过程、教学质量、教学研究、教学设施设备、图书及教材等各项管理制度。</w:t>
      </w:r>
    </w:p>
    <w:p>
      <w:pPr>
        <w:widowControl/>
        <w:spacing w:line="360" w:lineRule="auto"/>
        <w:ind w:firstLine="420"/>
        <w:rPr>
          <w:color w:val="0D0D0D"/>
          <w:spacing w:val="-5"/>
          <w:sz w:val="30"/>
        </w:rPr>
      </w:pPr>
      <w:r>
        <w:rPr>
          <w:rFonts w:hint="eastAsia"/>
          <w:color w:val="0D0D0D"/>
          <w:spacing w:val="-5"/>
          <w:sz w:val="30"/>
        </w:rPr>
        <w:t>3.常规教学管理制度</w:t>
      </w:r>
    </w:p>
    <w:p>
      <w:pPr>
        <w:widowControl/>
        <w:spacing w:line="360" w:lineRule="auto"/>
        <w:ind w:firstLine="420"/>
        <w:rPr>
          <w:color w:val="0D0D0D"/>
          <w:spacing w:val="-5"/>
          <w:sz w:val="30"/>
        </w:rPr>
      </w:pPr>
      <w:r>
        <w:rPr>
          <w:rFonts w:hint="eastAsia"/>
          <w:color w:val="0D0D0D"/>
          <w:spacing w:val="-5"/>
          <w:sz w:val="30"/>
        </w:rPr>
        <w:t>学校应制订完善的常规教学管理制度。常规教学管理制度主要包括教学组织管理制度、课堂教学管理制度、实践教学管理制度、顶岗实习与社会实践管理制度、学生学业成绩考核管理制度、教师教学工作考核、学生评价反馈制度等。</w:t>
      </w:r>
    </w:p>
    <w:p>
      <w:pPr>
        <w:widowControl/>
        <w:spacing w:line="360" w:lineRule="auto"/>
        <w:ind w:firstLine="420"/>
        <w:rPr>
          <w:color w:val="0D0D0D"/>
          <w:spacing w:val="-5"/>
          <w:sz w:val="30"/>
        </w:rPr>
      </w:pPr>
      <w:r>
        <w:rPr>
          <w:rFonts w:hint="eastAsia"/>
          <w:color w:val="0D0D0D"/>
          <w:spacing w:val="-5"/>
          <w:sz w:val="30"/>
        </w:rPr>
        <w:t>4.实施性教学计划制订与执行</w:t>
      </w:r>
    </w:p>
    <w:p>
      <w:pPr>
        <w:widowControl/>
        <w:spacing w:line="360" w:lineRule="auto"/>
        <w:ind w:firstLine="420"/>
        <w:rPr>
          <w:color w:val="0D0D0D"/>
          <w:spacing w:val="-5"/>
          <w:sz w:val="30"/>
        </w:rPr>
      </w:pPr>
      <w:r>
        <w:rPr>
          <w:rFonts w:hint="eastAsia"/>
          <w:color w:val="0D0D0D"/>
          <w:spacing w:val="-5"/>
          <w:sz w:val="30"/>
        </w:rPr>
        <w:t>学校应根据本标准，在充分调研的基础上制订实施性教学计划，根据区域产业结构特点，进一步明确具体的教学内容，科学设计训练项目，即对岗位核心能力课程标准进行二次开发。</w:t>
      </w:r>
    </w:p>
    <w:p>
      <w:pPr>
        <w:widowControl/>
        <w:spacing w:line="360" w:lineRule="auto"/>
        <w:ind w:firstLine="420"/>
        <w:rPr>
          <w:color w:val="0D0D0D"/>
          <w:spacing w:val="-5"/>
          <w:sz w:val="30"/>
        </w:rPr>
      </w:pPr>
      <w:r>
        <w:rPr>
          <w:rFonts w:hint="eastAsia"/>
          <w:color w:val="0D0D0D"/>
          <w:spacing w:val="-5"/>
          <w:sz w:val="30"/>
        </w:rPr>
        <w:t>学校制订的实施性教学计划，应报教育行政部门审核备案，并严格依据制订的实施性教学计划组织教学与考核。</w:t>
      </w:r>
    </w:p>
    <w:p>
      <w:pPr>
        <w:widowControl/>
        <w:spacing w:line="360" w:lineRule="auto"/>
        <w:ind w:firstLine="420"/>
        <w:rPr>
          <w:color w:val="0D0D0D"/>
          <w:spacing w:val="-5"/>
          <w:sz w:val="30"/>
        </w:rPr>
      </w:pPr>
      <w:r>
        <w:rPr>
          <w:rFonts w:hint="eastAsia"/>
          <w:color w:val="0D0D0D"/>
          <w:spacing w:val="-5"/>
          <w:sz w:val="30"/>
        </w:rPr>
        <w:t>5.教学档案收集与整理</w:t>
      </w:r>
    </w:p>
    <w:p>
      <w:pPr>
        <w:widowControl/>
        <w:spacing w:line="360" w:lineRule="auto"/>
        <w:ind w:firstLine="420"/>
        <w:rPr>
          <w:color w:val="0D0D0D"/>
          <w:spacing w:val="-5"/>
          <w:sz w:val="30"/>
        </w:rPr>
      </w:pPr>
      <w:r>
        <w:rPr>
          <w:rFonts w:hint="eastAsia"/>
          <w:color w:val="0D0D0D"/>
          <w:spacing w:val="-5"/>
          <w:sz w:val="30"/>
        </w:rPr>
        <w:t>学校应做好教学档案的收集与整理，为教学教研工作提供重要的教学信息资源。教学档案主要包括教学文书档案、教学业务档案、教师业务档案和学生学籍档案等。学校应对教学档案的收集、保管和利用做出规定，由专人负责管理，使教学档案管理制度化、规范化、信息化，能更好地为教学教研服务。</w:t>
      </w:r>
    </w:p>
    <w:p>
      <w:pPr>
        <w:widowControl/>
        <w:spacing w:line="360" w:lineRule="auto"/>
        <w:ind w:firstLine="420"/>
        <w:rPr>
          <w:color w:val="0D0D0D"/>
          <w:spacing w:val="-5"/>
          <w:sz w:val="30"/>
        </w:rPr>
      </w:pPr>
      <w:r>
        <w:rPr>
          <w:rFonts w:hint="eastAsia"/>
          <w:color w:val="0D0D0D"/>
          <w:spacing w:val="-5"/>
          <w:sz w:val="30"/>
        </w:rPr>
        <w:t>6.教育教学研究与改革</w:t>
      </w:r>
    </w:p>
    <w:p>
      <w:pPr>
        <w:widowControl/>
        <w:spacing w:line="360" w:lineRule="auto"/>
        <w:ind w:firstLine="420"/>
        <w:rPr>
          <w:color w:val="0D0D0D"/>
          <w:spacing w:val="-5"/>
          <w:sz w:val="30"/>
        </w:rPr>
      </w:pPr>
      <w:r>
        <w:rPr>
          <w:rFonts w:hint="eastAsia"/>
          <w:color w:val="0D0D0D"/>
          <w:spacing w:val="-5"/>
          <w:sz w:val="30"/>
        </w:rPr>
        <w:t>学校应设立专门的教育教学研究机构，配备专职和兼职教研人员，统筹管理全校的教育教学研究与改革工作。</w:t>
      </w:r>
    </w:p>
    <w:p>
      <w:pPr>
        <w:widowControl/>
        <w:spacing w:line="360" w:lineRule="auto"/>
        <w:ind w:firstLine="420"/>
        <w:rPr>
          <w:color w:val="0D0D0D"/>
          <w:spacing w:val="-5"/>
          <w:sz w:val="30"/>
        </w:rPr>
      </w:pPr>
      <w:r>
        <w:rPr>
          <w:rFonts w:hint="eastAsia"/>
          <w:color w:val="0D0D0D"/>
          <w:spacing w:val="-5"/>
          <w:sz w:val="30"/>
        </w:rPr>
        <w:t>教育教学研究与改革要以促进学生形成职业能力、实现全面发展为目的，通过教研活动、教育教学课题研究、校企合作等途径，改革教学模式，创新教学环境、教学方式、教学手段，促进知识传授与生产实践的紧密衔接，增强教学的实践性、针对性和实效性，使人才培养对接用人需求、专业对接产业、课程对接岗位、教材对接技能，全面提高教育教学质量。</w:t>
      </w:r>
    </w:p>
    <w:p>
      <w:pPr>
        <w:pStyle w:val="3"/>
        <w:spacing w:before="34" w:line="360" w:lineRule="auto"/>
        <w:ind w:left="216"/>
        <w:rPr>
          <w:color w:val="0D0D0D"/>
          <w:spacing w:val="-5"/>
          <w:szCs w:val="22"/>
        </w:rPr>
      </w:pPr>
    </w:p>
    <w:p>
      <w:pPr>
        <w:tabs>
          <w:tab w:val="left" w:pos="944"/>
          <w:tab w:val="left" w:pos="2744"/>
        </w:tabs>
        <w:autoSpaceDE/>
        <w:autoSpaceDN/>
        <w:spacing w:line="360" w:lineRule="auto"/>
        <w:rPr>
          <w:color w:val="0D0D0D"/>
          <w:spacing w:val="-5"/>
          <w:sz w:val="30"/>
        </w:rPr>
      </w:pPr>
      <w:r>
        <w:rPr>
          <w:rFonts w:hint="eastAsia"/>
          <w:color w:val="0D0D0D"/>
          <w:spacing w:val="-5"/>
          <w:sz w:val="30"/>
        </w:rPr>
        <w:t>九、毕业要求</w:t>
      </w:r>
    </w:p>
    <w:p>
      <w:pPr>
        <w:tabs>
          <w:tab w:val="left" w:pos="944"/>
          <w:tab w:val="left" w:pos="2744"/>
        </w:tabs>
        <w:autoSpaceDE/>
        <w:autoSpaceDN/>
        <w:spacing w:line="360" w:lineRule="auto"/>
        <w:ind w:firstLine="580" w:firstLineChars="200"/>
        <w:rPr>
          <w:color w:val="0D0D0D"/>
          <w:spacing w:val="-5"/>
          <w:sz w:val="30"/>
        </w:rPr>
      </w:pPr>
      <w:r>
        <w:rPr>
          <w:rFonts w:hint="eastAsia"/>
          <w:color w:val="0D0D0D"/>
          <w:spacing w:val="-5"/>
          <w:sz w:val="30"/>
        </w:rPr>
        <w:t xml:space="preserve">1.毕业前各科成绩合格或补考后合格； </w:t>
      </w:r>
    </w:p>
    <w:p>
      <w:pPr>
        <w:tabs>
          <w:tab w:val="left" w:pos="944"/>
          <w:tab w:val="left" w:pos="2744"/>
        </w:tabs>
        <w:autoSpaceDE/>
        <w:autoSpaceDN/>
        <w:spacing w:line="360" w:lineRule="auto"/>
        <w:ind w:firstLine="580" w:firstLineChars="200"/>
        <w:rPr>
          <w:color w:val="0D0D0D"/>
          <w:spacing w:val="-5"/>
          <w:sz w:val="30"/>
        </w:rPr>
      </w:pPr>
      <w:r>
        <w:rPr>
          <w:rFonts w:hint="eastAsia"/>
          <w:color w:val="0D0D0D"/>
          <w:spacing w:val="-5"/>
          <w:sz w:val="30"/>
        </w:rPr>
        <w:t>2.通过学测合格性考试；</w:t>
      </w:r>
    </w:p>
    <w:p>
      <w:pPr>
        <w:tabs>
          <w:tab w:val="left" w:pos="944"/>
          <w:tab w:val="left" w:pos="2744"/>
        </w:tabs>
        <w:autoSpaceDE/>
        <w:autoSpaceDN/>
        <w:spacing w:line="360" w:lineRule="auto"/>
        <w:ind w:firstLine="580" w:firstLineChars="200"/>
        <w:rPr>
          <w:color w:val="0D0D0D"/>
          <w:spacing w:val="-5"/>
          <w:sz w:val="30"/>
        </w:rPr>
      </w:pPr>
      <w:r>
        <w:rPr>
          <w:rFonts w:hint="eastAsia"/>
          <w:color w:val="0D0D0D"/>
          <w:spacing w:val="-5"/>
          <w:sz w:val="30"/>
        </w:rPr>
        <w:t>3</w:t>
      </w:r>
      <w:r>
        <w:rPr>
          <w:color w:val="0D0D0D"/>
          <w:spacing w:val="-5"/>
          <w:sz w:val="30"/>
        </w:rPr>
        <w:t>.</w:t>
      </w:r>
      <w:r>
        <w:rPr>
          <w:rFonts w:hint="eastAsia"/>
          <w:color w:val="0D0D0D"/>
          <w:spacing w:val="-5"/>
          <w:sz w:val="30"/>
        </w:rPr>
        <w:t>符合学校对于毕业的其他要求。</w:t>
      </w:r>
    </w:p>
    <w:sectPr>
      <w:footerReference r:id="rId8" w:type="default"/>
      <w:footerReference r:id="rId9" w:type="even"/>
      <w:pgSz w:w="11910" w:h="16840"/>
      <w:pgMar w:top="1080" w:right="1120" w:bottom="1080" w:left="1100" w:header="0" w:footer="100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3736975</wp:posOffset>
              </wp:positionH>
              <wp:positionV relativeFrom="page">
                <wp:posOffset>9885045</wp:posOffset>
              </wp:positionV>
              <wp:extent cx="82550" cy="152400"/>
              <wp:effectExtent l="0" t="0" r="0" b="0"/>
              <wp:wrapNone/>
              <wp:docPr id="52" name="文本框 2"/>
              <wp:cNvGraphicFramePr/>
              <a:graphic xmlns:a="http://schemas.openxmlformats.org/drawingml/2006/main">
                <a:graphicData uri="http://schemas.microsoft.com/office/word/2010/wordprocessingShape">
                  <wps:wsp>
                    <wps:cNvSpPr txBox="1"/>
                    <wps:spPr>
                      <a:xfrm>
                        <a:off x="0" y="0"/>
                        <a:ext cx="82550" cy="152400"/>
                      </a:xfrm>
                      <a:prstGeom prst="rect">
                        <a:avLst/>
                      </a:prstGeom>
                      <a:noFill/>
                      <a:ln>
                        <a:noFill/>
                      </a:ln>
                    </wps:spPr>
                    <wps:txbx>
                      <w:txbxContent>
                        <w:p>
                          <w:pPr>
                            <w:spacing w:before="12"/>
                            <w:ind w:left="20"/>
                            <w:rPr>
                              <w:rFonts w:ascii="Times New Roman"/>
                              <w:sz w:val="18"/>
                              <w:lang w:val="en-US"/>
                            </w:rPr>
                          </w:pPr>
                        </w:p>
                        <w:p>
                          <w:pPr>
                            <w:spacing w:before="12"/>
                            <w:ind w:left="20"/>
                            <w:rPr>
                              <w:rFonts w:ascii="Times New Roman"/>
                              <w:sz w:val="18"/>
                              <w:lang w:val="en-US"/>
                            </w:rPr>
                          </w:pPr>
                        </w:p>
                      </w:txbxContent>
                    </wps:txbx>
                    <wps:bodyPr lIns="0" tIns="0" rIns="0" bIns="0" upright="1"/>
                  </wps:wsp>
                </a:graphicData>
              </a:graphic>
            </wp:anchor>
          </w:drawing>
        </mc:Choice>
        <mc:Fallback>
          <w:pict>
            <v:shape id="文本框 2" o:spid="_x0000_s1026" o:spt="202" type="#_x0000_t202" style="position:absolute;left:0pt;margin-left:294.25pt;margin-top:778.35pt;height:12pt;width:6.5pt;mso-position-horizontal-relative:page;mso-position-vertical-relative:page;z-index:-251655168;mso-width-relative:page;mso-height-relative:page;" filled="f" stroked="f" coordsize="21600,21600" o:gfxdata="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n059V2QAAAA0BAAAPAAAAAAAAAAEAIAAAACIAAABkcnMvZG93bnJldi54bWxQSwEC&#10;FAAUAAAACACHTuJAjVR3FroBAABxAwAADgAAAAAAAAABACAAAAAoAQAAZHJzL2Uyb0RvYy54bWxQ&#10;SwUGAAAAAAYABgBZAQAAVAUAAAAA&#10;">
              <v:fill on="f" focussize="0,0"/>
              <v:stroke on="f"/>
              <v:imagedata o:title=""/>
              <o:lock v:ext="edit" aspectratio="f"/>
              <v:textbox inset="0mm,0mm,0mm,0mm">
                <w:txbxContent>
                  <w:p>
                    <w:pPr>
                      <w:spacing w:before="12"/>
                      <w:ind w:left="20"/>
                      <w:rPr>
                        <w:rFonts w:ascii="Times New Roman"/>
                        <w:sz w:val="18"/>
                        <w:lang w:val="en-US"/>
                      </w:rPr>
                    </w:pPr>
                  </w:p>
                  <w:p>
                    <w:pPr>
                      <w:spacing w:before="12"/>
                      <w:ind w:left="20"/>
                      <w:rPr>
                        <w:rFonts w:ascii="Times New Roman"/>
                        <w:sz w:val="18"/>
                        <w:lang w:val="en-US"/>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3696970</wp:posOffset>
              </wp:positionH>
              <wp:positionV relativeFrom="page">
                <wp:posOffset>9885045</wp:posOffset>
              </wp:positionV>
              <wp:extent cx="167640" cy="152400"/>
              <wp:effectExtent l="0" t="0" r="0" b="0"/>
              <wp:wrapNone/>
              <wp:docPr id="53" name="文本框 3"/>
              <wp:cNvGraphicFramePr/>
              <a:graphic xmlns:a="http://schemas.openxmlformats.org/drawingml/2006/main">
                <a:graphicData uri="http://schemas.microsoft.com/office/word/2010/wordprocessingShape">
                  <wps:wsp>
                    <wps:cNvSpPr txBox="1"/>
                    <wps:spPr>
                      <a:xfrm>
                        <a:off x="0" y="0"/>
                        <a:ext cx="167640" cy="152400"/>
                      </a:xfrm>
                      <a:prstGeom prst="rect">
                        <a:avLst/>
                      </a:prstGeom>
                      <a:noFill/>
                      <a:ln>
                        <a:noFill/>
                      </a:ln>
                    </wps:spPr>
                    <wps:txbx>
                      <w:txbxContent>
                        <w:p>
                          <w:pPr>
                            <w:spacing w:before="12"/>
                            <w:ind w:left="40"/>
                            <w:rPr>
                              <w:rFonts w:ascii="Times New Roman"/>
                              <w:sz w:val="18"/>
                              <w:lang w:val="en-US"/>
                            </w:rPr>
                          </w:pPr>
                        </w:p>
                      </w:txbxContent>
                    </wps:txbx>
                    <wps:bodyPr lIns="0" tIns="0" rIns="0" bIns="0" upright="1"/>
                  </wps:wsp>
                </a:graphicData>
              </a:graphic>
            </wp:anchor>
          </w:drawing>
        </mc:Choice>
        <mc:Fallback>
          <w:pict>
            <v:shape id="文本框 3" o:spid="_x0000_s1026" o:spt="202" type="#_x0000_t202" style="position:absolute;left:0pt;margin-left:291.1pt;margin-top:778.35pt;height:12pt;width:13.2pt;mso-position-horizontal-relative:page;mso-position-vertical-relative:page;z-index:-251656192;mso-width-relative:page;mso-height-relative:page;" filled="f" stroked="f" coordsize="21600,21600" o:gfxdata="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2siDaAAAADQEAAA8AAAAAAAAAAQAgAAAAIgAAAGRycy9kb3ducmV2LnhtbFBL&#10;AQIUABQAAAAIAIdO4kAh5K70uwEAAHIDAAAOAAAAAAAAAAEAIAAAACkBAABkcnMvZTJvRG9jLnht&#10;bFBLBQYAAAAABgAGAFkBAABWBQAAAAA=&#10;">
              <v:fill on="f" focussize="0,0"/>
              <v:stroke on="f"/>
              <v:imagedata o:title=""/>
              <o:lock v:ext="edit" aspectratio="f"/>
              <v:textbox inset="0mm,0mm,0mm,0mm">
                <w:txbxContent>
                  <w:p>
                    <w:pPr>
                      <w:spacing w:before="12"/>
                      <w:ind w:left="40"/>
                      <w:rPr>
                        <w:rFonts w:ascii="Times New Roman"/>
                        <w:sz w:val="18"/>
                        <w:lang w:val="en-US"/>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3707765</wp:posOffset>
              </wp:positionH>
              <wp:positionV relativeFrom="page">
                <wp:posOffset>9885045</wp:posOffset>
              </wp:positionV>
              <wp:extent cx="167640" cy="152400"/>
              <wp:effectExtent l="0" t="0" r="0" b="0"/>
              <wp:wrapNone/>
              <wp:docPr id="54" name="文本框 4"/>
              <wp:cNvGraphicFramePr/>
              <a:graphic xmlns:a="http://schemas.openxmlformats.org/drawingml/2006/main">
                <a:graphicData uri="http://schemas.microsoft.com/office/word/2010/wordprocessingShape">
                  <wps:wsp>
                    <wps:cNvSpPr txBox="1"/>
                    <wps:spPr>
                      <a:xfrm>
                        <a:off x="0" y="0"/>
                        <a:ext cx="167640" cy="152400"/>
                      </a:xfrm>
                      <a:prstGeom prst="rect">
                        <a:avLst/>
                      </a:prstGeom>
                      <a:noFill/>
                      <a:ln>
                        <a:noFill/>
                      </a:ln>
                    </wps:spPr>
                    <wps:txbx>
                      <w:txbxContent>
                        <w:p>
                          <w:pPr>
                            <w:spacing w:before="12"/>
                            <w:ind w:left="40"/>
                            <w:rPr>
                              <w:lang w:val="en-US"/>
                            </w:rPr>
                          </w:pPr>
                        </w:p>
                      </w:txbxContent>
                    </wps:txbx>
                    <wps:bodyPr lIns="0" tIns="0" rIns="0" bIns="0" upright="1"/>
                  </wps:wsp>
                </a:graphicData>
              </a:graphic>
            </wp:anchor>
          </w:drawing>
        </mc:Choice>
        <mc:Fallback>
          <w:pict>
            <v:shape id="文本框 4" o:spid="_x0000_s1026" o:spt="202" type="#_x0000_t202" style="position:absolute;left:0pt;margin-left:291.95pt;margin-top:778.35pt;height:12pt;width:13.2pt;mso-position-horizontal-relative:page;mso-position-vertical-relative:page;z-index:-251657216;mso-width-relative:page;mso-height-relative:page;" filled="f" stroked="f" coordsize="21600,21600" o:gfxdata="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cwT7d2wAAAA0BAAAPAAAAAAAAAAEAIAAAACIAAABkcnMvZG93bnJldi54bWxQ&#10;SwECFAAUAAAACACHTuJAaD2RK7sBAAByAwAADgAAAAAAAAABACAAAAAqAQAAZHJzL2Uyb0RvYy54&#10;bWxQSwUGAAAAAAYABgBZAQAAVwUAAAAA&#10;">
              <v:fill on="f" focussize="0,0"/>
              <v:stroke on="f"/>
              <v:imagedata o:title=""/>
              <o:lock v:ext="edit" aspectratio="f"/>
              <v:textbox inset="0mm,0mm,0mm,0mm">
                <w:txbxContent>
                  <w:p>
                    <w:pPr>
                      <w:spacing w:before="12"/>
                      <w:ind w:left="40"/>
                      <w:rPr>
                        <w:lang w:val="en-US"/>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570" w:hanging="754"/>
      </w:pPr>
      <w:rPr>
        <w:rFonts w:hint="default" w:ascii="宋体" w:hAnsi="宋体" w:eastAsia="宋体" w:cs="宋体"/>
        <w:color w:val="0D0D0D"/>
        <w:spacing w:val="-28"/>
        <w:w w:val="100"/>
        <w:sz w:val="28"/>
        <w:szCs w:val="28"/>
        <w:lang w:val="zh-CN" w:eastAsia="zh-CN" w:bidi="zh-CN"/>
      </w:rPr>
    </w:lvl>
    <w:lvl w:ilvl="1" w:tentative="0">
      <w:start w:val="0"/>
      <w:numFmt w:val="bullet"/>
      <w:lvlText w:val="•"/>
      <w:lvlJc w:val="left"/>
      <w:pPr>
        <w:ind w:left="2424" w:hanging="754"/>
      </w:pPr>
      <w:rPr>
        <w:rFonts w:hint="default"/>
        <w:lang w:val="zh-CN" w:eastAsia="zh-CN" w:bidi="zh-CN"/>
      </w:rPr>
    </w:lvl>
    <w:lvl w:ilvl="2" w:tentative="0">
      <w:start w:val="0"/>
      <w:numFmt w:val="bullet"/>
      <w:lvlText w:val="•"/>
      <w:lvlJc w:val="left"/>
      <w:pPr>
        <w:ind w:left="3269" w:hanging="754"/>
      </w:pPr>
      <w:rPr>
        <w:rFonts w:hint="default"/>
        <w:lang w:val="zh-CN" w:eastAsia="zh-CN" w:bidi="zh-CN"/>
      </w:rPr>
    </w:lvl>
    <w:lvl w:ilvl="3" w:tentative="0">
      <w:start w:val="0"/>
      <w:numFmt w:val="bullet"/>
      <w:lvlText w:val="•"/>
      <w:lvlJc w:val="left"/>
      <w:pPr>
        <w:ind w:left="4114" w:hanging="754"/>
      </w:pPr>
      <w:rPr>
        <w:rFonts w:hint="default"/>
        <w:lang w:val="zh-CN" w:eastAsia="zh-CN" w:bidi="zh-CN"/>
      </w:rPr>
    </w:lvl>
    <w:lvl w:ilvl="4" w:tentative="0">
      <w:start w:val="0"/>
      <w:numFmt w:val="bullet"/>
      <w:lvlText w:val="•"/>
      <w:lvlJc w:val="left"/>
      <w:pPr>
        <w:ind w:left="4959" w:hanging="754"/>
      </w:pPr>
      <w:rPr>
        <w:rFonts w:hint="default"/>
        <w:lang w:val="zh-CN" w:eastAsia="zh-CN" w:bidi="zh-CN"/>
      </w:rPr>
    </w:lvl>
    <w:lvl w:ilvl="5" w:tentative="0">
      <w:start w:val="0"/>
      <w:numFmt w:val="bullet"/>
      <w:lvlText w:val="•"/>
      <w:lvlJc w:val="left"/>
      <w:pPr>
        <w:ind w:left="5804" w:hanging="754"/>
      </w:pPr>
      <w:rPr>
        <w:rFonts w:hint="default"/>
        <w:lang w:val="zh-CN" w:eastAsia="zh-CN" w:bidi="zh-CN"/>
      </w:rPr>
    </w:lvl>
    <w:lvl w:ilvl="6" w:tentative="0">
      <w:start w:val="0"/>
      <w:numFmt w:val="bullet"/>
      <w:lvlText w:val="•"/>
      <w:lvlJc w:val="left"/>
      <w:pPr>
        <w:ind w:left="6648" w:hanging="754"/>
      </w:pPr>
      <w:rPr>
        <w:rFonts w:hint="default"/>
        <w:lang w:val="zh-CN" w:eastAsia="zh-CN" w:bidi="zh-CN"/>
      </w:rPr>
    </w:lvl>
    <w:lvl w:ilvl="7" w:tentative="0">
      <w:start w:val="0"/>
      <w:numFmt w:val="bullet"/>
      <w:lvlText w:val="•"/>
      <w:lvlJc w:val="left"/>
      <w:pPr>
        <w:ind w:left="7493" w:hanging="754"/>
      </w:pPr>
      <w:rPr>
        <w:rFonts w:hint="default"/>
        <w:lang w:val="zh-CN" w:eastAsia="zh-CN" w:bidi="zh-CN"/>
      </w:rPr>
    </w:lvl>
    <w:lvl w:ilvl="8" w:tentative="0">
      <w:start w:val="0"/>
      <w:numFmt w:val="bullet"/>
      <w:lvlText w:val="•"/>
      <w:lvlJc w:val="left"/>
      <w:pPr>
        <w:ind w:left="8338" w:hanging="754"/>
      </w:pPr>
      <w:rPr>
        <w:rFonts w:hint="default"/>
        <w:lang w:val="zh-CN" w:eastAsia="zh-CN" w:bidi="zh-CN"/>
      </w:rPr>
    </w:lvl>
  </w:abstractNum>
  <w:abstractNum w:abstractNumId="1">
    <w:nsid w:val="FC816D5A"/>
    <w:multiLevelType w:val="singleLevel"/>
    <w:tmpl w:val="FC816D5A"/>
    <w:lvl w:ilvl="0" w:tentative="0">
      <w:start w:val="4"/>
      <w:numFmt w:val="chineseCounting"/>
      <w:suff w:val="nothing"/>
      <w:lvlText w:val="%1、"/>
      <w:lvlJc w:val="left"/>
      <w:rPr>
        <w:rFonts w:hint="eastAsia"/>
      </w:rPr>
    </w:lvl>
  </w:abstractNum>
  <w:abstractNum w:abstractNumId="2">
    <w:nsid w:val="0053208E"/>
    <w:multiLevelType w:val="multilevel"/>
    <w:tmpl w:val="0053208E"/>
    <w:lvl w:ilvl="0" w:tentative="0">
      <w:start w:val="1"/>
      <w:numFmt w:val="decimal"/>
      <w:lvlText w:val="%1."/>
      <w:lvlJc w:val="left"/>
      <w:pPr>
        <w:ind w:left="1184" w:hanging="304"/>
      </w:pPr>
      <w:rPr>
        <w:rFonts w:hint="default" w:ascii="Microsoft JhengHei" w:hAnsi="Microsoft JhengHei" w:eastAsia="Microsoft JhengHei" w:cs="Microsoft JhengHei"/>
        <w:b/>
        <w:bCs/>
        <w:color w:val="0D0D0D"/>
        <w:spacing w:val="2"/>
        <w:w w:val="117"/>
        <w:sz w:val="28"/>
        <w:szCs w:val="28"/>
        <w:lang w:val="zh-CN" w:eastAsia="zh-CN" w:bidi="zh-CN"/>
      </w:rPr>
    </w:lvl>
    <w:lvl w:ilvl="1" w:tentative="0">
      <w:start w:val="0"/>
      <w:numFmt w:val="bullet"/>
      <w:lvlText w:val="•"/>
      <w:lvlJc w:val="left"/>
      <w:pPr>
        <w:ind w:left="2010" w:hanging="304"/>
      </w:pPr>
      <w:rPr>
        <w:rFonts w:hint="default"/>
        <w:lang w:val="zh-CN" w:eastAsia="zh-CN" w:bidi="zh-CN"/>
      </w:rPr>
    </w:lvl>
    <w:lvl w:ilvl="2" w:tentative="0">
      <w:start w:val="0"/>
      <w:numFmt w:val="bullet"/>
      <w:lvlText w:val="•"/>
      <w:lvlJc w:val="left"/>
      <w:pPr>
        <w:ind w:left="2901" w:hanging="304"/>
      </w:pPr>
      <w:rPr>
        <w:rFonts w:hint="default"/>
        <w:lang w:val="zh-CN" w:eastAsia="zh-CN" w:bidi="zh-CN"/>
      </w:rPr>
    </w:lvl>
    <w:lvl w:ilvl="3" w:tentative="0">
      <w:start w:val="0"/>
      <w:numFmt w:val="bullet"/>
      <w:lvlText w:val="•"/>
      <w:lvlJc w:val="left"/>
      <w:pPr>
        <w:ind w:left="3792" w:hanging="304"/>
      </w:pPr>
      <w:rPr>
        <w:rFonts w:hint="default"/>
        <w:lang w:val="zh-CN" w:eastAsia="zh-CN" w:bidi="zh-CN"/>
      </w:rPr>
    </w:lvl>
    <w:lvl w:ilvl="4" w:tentative="0">
      <w:start w:val="0"/>
      <w:numFmt w:val="bullet"/>
      <w:lvlText w:val="•"/>
      <w:lvlJc w:val="left"/>
      <w:pPr>
        <w:ind w:left="4683" w:hanging="304"/>
      </w:pPr>
      <w:rPr>
        <w:rFonts w:hint="default"/>
        <w:lang w:val="zh-CN" w:eastAsia="zh-CN" w:bidi="zh-CN"/>
      </w:rPr>
    </w:lvl>
    <w:lvl w:ilvl="5" w:tentative="0">
      <w:start w:val="0"/>
      <w:numFmt w:val="bullet"/>
      <w:lvlText w:val="•"/>
      <w:lvlJc w:val="left"/>
      <w:pPr>
        <w:ind w:left="5574" w:hanging="304"/>
      </w:pPr>
      <w:rPr>
        <w:rFonts w:hint="default"/>
        <w:lang w:val="zh-CN" w:eastAsia="zh-CN" w:bidi="zh-CN"/>
      </w:rPr>
    </w:lvl>
    <w:lvl w:ilvl="6" w:tentative="0">
      <w:start w:val="0"/>
      <w:numFmt w:val="bullet"/>
      <w:lvlText w:val="•"/>
      <w:lvlJc w:val="left"/>
      <w:pPr>
        <w:ind w:left="6464" w:hanging="304"/>
      </w:pPr>
      <w:rPr>
        <w:rFonts w:hint="default"/>
        <w:lang w:val="zh-CN" w:eastAsia="zh-CN" w:bidi="zh-CN"/>
      </w:rPr>
    </w:lvl>
    <w:lvl w:ilvl="7" w:tentative="0">
      <w:start w:val="0"/>
      <w:numFmt w:val="bullet"/>
      <w:lvlText w:val="•"/>
      <w:lvlJc w:val="left"/>
      <w:pPr>
        <w:ind w:left="7355" w:hanging="304"/>
      </w:pPr>
      <w:rPr>
        <w:rFonts w:hint="default"/>
        <w:lang w:val="zh-CN" w:eastAsia="zh-CN" w:bidi="zh-CN"/>
      </w:rPr>
    </w:lvl>
    <w:lvl w:ilvl="8" w:tentative="0">
      <w:start w:val="0"/>
      <w:numFmt w:val="bullet"/>
      <w:lvlText w:val="•"/>
      <w:lvlJc w:val="left"/>
      <w:pPr>
        <w:ind w:left="8246" w:hanging="304"/>
      </w:pPr>
      <w:rPr>
        <w:rFonts w:hint="default"/>
        <w:lang w:val="zh-CN" w:eastAsia="zh-CN" w:bidi="zh-C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3M2UyYzNjMTQ2NDQ1NWUxNTU4OGZjNGI3YzMxMzgifQ=="/>
  </w:docVars>
  <w:rsids>
    <w:rsidRoot w:val="008C1A96"/>
    <w:rsid w:val="00080D2C"/>
    <w:rsid w:val="00081AF1"/>
    <w:rsid w:val="000E7B1F"/>
    <w:rsid w:val="000F3BA5"/>
    <w:rsid w:val="001C0D13"/>
    <w:rsid w:val="001C100A"/>
    <w:rsid w:val="001E0DE1"/>
    <w:rsid w:val="001E6567"/>
    <w:rsid w:val="00262F3E"/>
    <w:rsid w:val="00293403"/>
    <w:rsid w:val="00294D18"/>
    <w:rsid w:val="002973C1"/>
    <w:rsid w:val="002B0B42"/>
    <w:rsid w:val="002C0979"/>
    <w:rsid w:val="002C32F5"/>
    <w:rsid w:val="002C34B4"/>
    <w:rsid w:val="002D4214"/>
    <w:rsid w:val="00301006"/>
    <w:rsid w:val="00355622"/>
    <w:rsid w:val="003A000A"/>
    <w:rsid w:val="003A3B19"/>
    <w:rsid w:val="003B571D"/>
    <w:rsid w:val="003E5939"/>
    <w:rsid w:val="00445C2A"/>
    <w:rsid w:val="004571FF"/>
    <w:rsid w:val="004A47A6"/>
    <w:rsid w:val="004F26F8"/>
    <w:rsid w:val="00565752"/>
    <w:rsid w:val="00576BCF"/>
    <w:rsid w:val="00653B33"/>
    <w:rsid w:val="006A4FC9"/>
    <w:rsid w:val="006B6E88"/>
    <w:rsid w:val="006D6432"/>
    <w:rsid w:val="006F28D1"/>
    <w:rsid w:val="0077687D"/>
    <w:rsid w:val="00782F0E"/>
    <w:rsid w:val="007C2CC6"/>
    <w:rsid w:val="007D10A8"/>
    <w:rsid w:val="007E07E0"/>
    <w:rsid w:val="00811954"/>
    <w:rsid w:val="00870F31"/>
    <w:rsid w:val="008761CD"/>
    <w:rsid w:val="008A2482"/>
    <w:rsid w:val="008C1A96"/>
    <w:rsid w:val="008D714A"/>
    <w:rsid w:val="00905B99"/>
    <w:rsid w:val="0091480F"/>
    <w:rsid w:val="00922297"/>
    <w:rsid w:val="00954E5E"/>
    <w:rsid w:val="009A0AC6"/>
    <w:rsid w:val="009D184D"/>
    <w:rsid w:val="009D631A"/>
    <w:rsid w:val="009E66D4"/>
    <w:rsid w:val="009F7753"/>
    <w:rsid w:val="009F7DB5"/>
    <w:rsid w:val="00A273F7"/>
    <w:rsid w:val="00A84D7D"/>
    <w:rsid w:val="00B02454"/>
    <w:rsid w:val="00B94DEE"/>
    <w:rsid w:val="00C177A1"/>
    <w:rsid w:val="00C643E7"/>
    <w:rsid w:val="00C8260C"/>
    <w:rsid w:val="00C949FB"/>
    <w:rsid w:val="00CA2157"/>
    <w:rsid w:val="00CF63A5"/>
    <w:rsid w:val="00CF672E"/>
    <w:rsid w:val="00D06AE9"/>
    <w:rsid w:val="00D21338"/>
    <w:rsid w:val="00D70D6E"/>
    <w:rsid w:val="00D81144"/>
    <w:rsid w:val="00D928E1"/>
    <w:rsid w:val="00E61025"/>
    <w:rsid w:val="00E91398"/>
    <w:rsid w:val="00EB4C71"/>
    <w:rsid w:val="00ED4871"/>
    <w:rsid w:val="00EF7AE2"/>
    <w:rsid w:val="00F2577F"/>
    <w:rsid w:val="00F42E4A"/>
    <w:rsid w:val="00F8556B"/>
    <w:rsid w:val="01555C3E"/>
    <w:rsid w:val="015810B8"/>
    <w:rsid w:val="01AC5842"/>
    <w:rsid w:val="01E370A5"/>
    <w:rsid w:val="020859D0"/>
    <w:rsid w:val="02866093"/>
    <w:rsid w:val="02CB6226"/>
    <w:rsid w:val="02FE3E7B"/>
    <w:rsid w:val="03920A67"/>
    <w:rsid w:val="04CE18FF"/>
    <w:rsid w:val="05205907"/>
    <w:rsid w:val="05232AE2"/>
    <w:rsid w:val="05E76E48"/>
    <w:rsid w:val="06B17456"/>
    <w:rsid w:val="07127FB0"/>
    <w:rsid w:val="0788465B"/>
    <w:rsid w:val="07914B26"/>
    <w:rsid w:val="081859DF"/>
    <w:rsid w:val="086717AA"/>
    <w:rsid w:val="086F4BEF"/>
    <w:rsid w:val="088C017B"/>
    <w:rsid w:val="09150170"/>
    <w:rsid w:val="091B1DFC"/>
    <w:rsid w:val="09707AE5"/>
    <w:rsid w:val="0A261F09"/>
    <w:rsid w:val="0A5A00BC"/>
    <w:rsid w:val="0A84735B"/>
    <w:rsid w:val="0AF142C5"/>
    <w:rsid w:val="0B1D155E"/>
    <w:rsid w:val="0B2974E2"/>
    <w:rsid w:val="0B681122"/>
    <w:rsid w:val="0BA63302"/>
    <w:rsid w:val="0C0D15D3"/>
    <w:rsid w:val="0CA75583"/>
    <w:rsid w:val="0CD60215"/>
    <w:rsid w:val="0CDD197B"/>
    <w:rsid w:val="0D156991"/>
    <w:rsid w:val="0D554FDF"/>
    <w:rsid w:val="0D7A17DA"/>
    <w:rsid w:val="0D9A1459"/>
    <w:rsid w:val="0D9A6E96"/>
    <w:rsid w:val="0E1D788F"/>
    <w:rsid w:val="0E2035D9"/>
    <w:rsid w:val="0E4446EE"/>
    <w:rsid w:val="0E8518F4"/>
    <w:rsid w:val="0E9605D4"/>
    <w:rsid w:val="0F380715"/>
    <w:rsid w:val="0F3F1AA3"/>
    <w:rsid w:val="0FBE6C06"/>
    <w:rsid w:val="10014FAA"/>
    <w:rsid w:val="100F5919"/>
    <w:rsid w:val="10142F30"/>
    <w:rsid w:val="10507CE0"/>
    <w:rsid w:val="10C36704"/>
    <w:rsid w:val="116E041E"/>
    <w:rsid w:val="11B524F0"/>
    <w:rsid w:val="11FF3C93"/>
    <w:rsid w:val="12266F4A"/>
    <w:rsid w:val="12D15108"/>
    <w:rsid w:val="133A6E32"/>
    <w:rsid w:val="13CA05C5"/>
    <w:rsid w:val="143B0CA7"/>
    <w:rsid w:val="145A737F"/>
    <w:rsid w:val="14700951"/>
    <w:rsid w:val="14D42C8D"/>
    <w:rsid w:val="160612D4"/>
    <w:rsid w:val="17CC40F0"/>
    <w:rsid w:val="180F2127"/>
    <w:rsid w:val="188624F1"/>
    <w:rsid w:val="189E7259"/>
    <w:rsid w:val="195D606C"/>
    <w:rsid w:val="19A370D2"/>
    <w:rsid w:val="19EA1A98"/>
    <w:rsid w:val="1A3851E2"/>
    <w:rsid w:val="1AA24E52"/>
    <w:rsid w:val="1AE17EB2"/>
    <w:rsid w:val="1B155DAE"/>
    <w:rsid w:val="1B527002"/>
    <w:rsid w:val="1B9A0C78"/>
    <w:rsid w:val="1B9B4505"/>
    <w:rsid w:val="1BB67591"/>
    <w:rsid w:val="1C0F0A4F"/>
    <w:rsid w:val="1C1E6EE4"/>
    <w:rsid w:val="1CA53161"/>
    <w:rsid w:val="1D0936F0"/>
    <w:rsid w:val="1D44297A"/>
    <w:rsid w:val="1DB775F0"/>
    <w:rsid w:val="1DD7559C"/>
    <w:rsid w:val="1E1E7749"/>
    <w:rsid w:val="1F1620F4"/>
    <w:rsid w:val="1F4E7AE0"/>
    <w:rsid w:val="1F83778A"/>
    <w:rsid w:val="1F9574BD"/>
    <w:rsid w:val="20831A0C"/>
    <w:rsid w:val="20B42D88"/>
    <w:rsid w:val="211C7E96"/>
    <w:rsid w:val="21374CD0"/>
    <w:rsid w:val="2175672E"/>
    <w:rsid w:val="21BA145D"/>
    <w:rsid w:val="21C640F3"/>
    <w:rsid w:val="220D3C83"/>
    <w:rsid w:val="22DB78DD"/>
    <w:rsid w:val="23344E23"/>
    <w:rsid w:val="234E00AF"/>
    <w:rsid w:val="237F3752"/>
    <w:rsid w:val="23D22A8E"/>
    <w:rsid w:val="2492046F"/>
    <w:rsid w:val="249D4820"/>
    <w:rsid w:val="24C90335"/>
    <w:rsid w:val="25D56865"/>
    <w:rsid w:val="2604714B"/>
    <w:rsid w:val="26544387"/>
    <w:rsid w:val="26823AEC"/>
    <w:rsid w:val="269B185D"/>
    <w:rsid w:val="26A15746"/>
    <w:rsid w:val="26B11081"/>
    <w:rsid w:val="27253734"/>
    <w:rsid w:val="28923E65"/>
    <w:rsid w:val="290908FF"/>
    <w:rsid w:val="290E322E"/>
    <w:rsid w:val="29952E4A"/>
    <w:rsid w:val="29B35110"/>
    <w:rsid w:val="2A191E99"/>
    <w:rsid w:val="2A440E80"/>
    <w:rsid w:val="2AA50EFC"/>
    <w:rsid w:val="2AE01F34"/>
    <w:rsid w:val="2B1C6CE5"/>
    <w:rsid w:val="2BD25726"/>
    <w:rsid w:val="2BF469A4"/>
    <w:rsid w:val="2CE56AD6"/>
    <w:rsid w:val="2D46629B"/>
    <w:rsid w:val="2D8A262B"/>
    <w:rsid w:val="2E9279E9"/>
    <w:rsid w:val="2EA63495"/>
    <w:rsid w:val="2ED26038"/>
    <w:rsid w:val="2F4800A8"/>
    <w:rsid w:val="2F76713F"/>
    <w:rsid w:val="2FED0C50"/>
    <w:rsid w:val="30224D9D"/>
    <w:rsid w:val="30BA3D51"/>
    <w:rsid w:val="31765D4C"/>
    <w:rsid w:val="3195334D"/>
    <w:rsid w:val="328238D1"/>
    <w:rsid w:val="332861FF"/>
    <w:rsid w:val="33552D94"/>
    <w:rsid w:val="339E298D"/>
    <w:rsid w:val="34012F1B"/>
    <w:rsid w:val="3422536C"/>
    <w:rsid w:val="342D3D10"/>
    <w:rsid w:val="345240BA"/>
    <w:rsid w:val="34677222"/>
    <w:rsid w:val="3518676F"/>
    <w:rsid w:val="35435327"/>
    <w:rsid w:val="36160F00"/>
    <w:rsid w:val="36FF7BE6"/>
    <w:rsid w:val="37C2174E"/>
    <w:rsid w:val="37E6601C"/>
    <w:rsid w:val="384F6EFF"/>
    <w:rsid w:val="38986E18"/>
    <w:rsid w:val="38997BC6"/>
    <w:rsid w:val="38A1079D"/>
    <w:rsid w:val="393671C3"/>
    <w:rsid w:val="394C2E8B"/>
    <w:rsid w:val="39BA1BA2"/>
    <w:rsid w:val="39D261F3"/>
    <w:rsid w:val="3B334302"/>
    <w:rsid w:val="3B476AC5"/>
    <w:rsid w:val="3B8E32E7"/>
    <w:rsid w:val="3B9603ED"/>
    <w:rsid w:val="3C177780"/>
    <w:rsid w:val="3C1C4D96"/>
    <w:rsid w:val="3C9E57AB"/>
    <w:rsid w:val="3CC80A7A"/>
    <w:rsid w:val="3CE04016"/>
    <w:rsid w:val="3D954E00"/>
    <w:rsid w:val="3DAD3C6B"/>
    <w:rsid w:val="3E751D0D"/>
    <w:rsid w:val="3ED90D1D"/>
    <w:rsid w:val="3F93711E"/>
    <w:rsid w:val="3FE82494"/>
    <w:rsid w:val="40534AFF"/>
    <w:rsid w:val="408E3D89"/>
    <w:rsid w:val="40E7043F"/>
    <w:rsid w:val="40F6543F"/>
    <w:rsid w:val="41614FF9"/>
    <w:rsid w:val="41A10B94"/>
    <w:rsid w:val="41DB2FFE"/>
    <w:rsid w:val="4202058A"/>
    <w:rsid w:val="420662CD"/>
    <w:rsid w:val="420C31B7"/>
    <w:rsid w:val="422017C4"/>
    <w:rsid w:val="4246491B"/>
    <w:rsid w:val="425D3A13"/>
    <w:rsid w:val="428B285E"/>
    <w:rsid w:val="42DE5CAA"/>
    <w:rsid w:val="4492209A"/>
    <w:rsid w:val="44CC6C2E"/>
    <w:rsid w:val="46AF05B5"/>
    <w:rsid w:val="46D30747"/>
    <w:rsid w:val="476F22F3"/>
    <w:rsid w:val="47A520E4"/>
    <w:rsid w:val="487F2935"/>
    <w:rsid w:val="488937B4"/>
    <w:rsid w:val="489F4D85"/>
    <w:rsid w:val="48C7608A"/>
    <w:rsid w:val="490C7F41"/>
    <w:rsid w:val="49956188"/>
    <w:rsid w:val="49C820BA"/>
    <w:rsid w:val="4AE85A05"/>
    <w:rsid w:val="4B02784D"/>
    <w:rsid w:val="4B0610EB"/>
    <w:rsid w:val="4B0C247A"/>
    <w:rsid w:val="4B5F7090"/>
    <w:rsid w:val="4BC6087B"/>
    <w:rsid w:val="4C205C5B"/>
    <w:rsid w:val="4C4A325A"/>
    <w:rsid w:val="4C6267F5"/>
    <w:rsid w:val="4DD63D8C"/>
    <w:rsid w:val="4DE823A4"/>
    <w:rsid w:val="4E0D453F"/>
    <w:rsid w:val="4E5959D6"/>
    <w:rsid w:val="4E6623AE"/>
    <w:rsid w:val="4E6C2628"/>
    <w:rsid w:val="4F7800DE"/>
    <w:rsid w:val="4F8151E4"/>
    <w:rsid w:val="504F7091"/>
    <w:rsid w:val="50504BB7"/>
    <w:rsid w:val="50E377D9"/>
    <w:rsid w:val="50EA6DB9"/>
    <w:rsid w:val="50EF617E"/>
    <w:rsid w:val="51870AAC"/>
    <w:rsid w:val="5257222D"/>
    <w:rsid w:val="53536E98"/>
    <w:rsid w:val="53637E49"/>
    <w:rsid w:val="536F17F8"/>
    <w:rsid w:val="542E520F"/>
    <w:rsid w:val="54770964"/>
    <w:rsid w:val="54D062C6"/>
    <w:rsid w:val="558F625E"/>
    <w:rsid w:val="56115001"/>
    <w:rsid w:val="56312D95"/>
    <w:rsid w:val="573F2635"/>
    <w:rsid w:val="57B47359"/>
    <w:rsid w:val="583077A8"/>
    <w:rsid w:val="5906749F"/>
    <w:rsid w:val="596F4300"/>
    <w:rsid w:val="597E2795"/>
    <w:rsid w:val="5987789B"/>
    <w:rsid w:val="5A0A227A"/>
    <w:rsid w:val="5A271984"/>
    <w:rsid w:val="5A5873C0"/>
    <w:rsid w:val="5A8E4C59"/>
    <w:rsid w:val="5AA93841"/>
    <w:rsid w:val="5B8C73EB"/>
    <w:rsid w:val="5BCD17B1"/>
    <w:rsid w:val="5BE6135B"/>
    <w:rsid w:val="5C0F1DCA"/>
    <w:rsid w:val="5C9D1184"/>
    <w:rsid w:val="5D700646"/>
    <w:rsid w:val="5D881E34"/>
    <w:rsid w:val="5DAF73C1"/>
    <w:rsid w:val="5DC7295C"/>
    <w:rsid w:val="5E7B54F5"/>
    <w:rsid w:val="5EA7453C"/>
    <w:rsid w:val="5EEC01A1"/>
    <w:rsid w:val="5F0E6369"/>
    <w:rsid w:val="5F601C9D"/>
    <w:rsid w:val="5F6917F1"/>
    <w:rsid w:val="5FEA2932"/>
    <w:rsid w:val="60870181"/>
    <w:rsid w:val="608C5797"/>
    <w:rsid w:val="6109328C"/>
    <w:rsid w:val="61202383"/>
    <w:rsid w:val="615D7134"/>
    <w:rsid w:val="626544F2"/>
    <w:rsid w:val="63185A08"/>
    <w:rsid w:val="649474DD"/>
    <w:rsid w:val="650B0456"/>
    <w:rsid w:val="655B398A"/>
    <w:rsid w:val="65AA1C65"/>
    <w:rsid w:val="660D737A"/>
    <w:rsid w:val="664D41DF"/>
    <w:rsid w:val="66F127F8"/>
    <w:rsid w:val="670A4F5F"/>
    <w:rsid w:val="677551D7"/>
    <w:rsid w:val="67DC5256"/>
    <w:rsid w:val="67FA392E"/>
    <w:rsid w:val="683A644E"/>
    <w:rsid w:val="685748DD"/>
    <w:rsid w:val="6870599E"/>
    <w:rsid w:val="692D1AE1"/>
    <w:rsid w:val="6A2922A9"/>
    <w:rsid w:val="6A841BD5"/>
    <w:rsid w:val="6B8A7FE1"/>
    <w:rsid w:val="6C046B2A"/>
    <w:rsid w:val="6C9A748E"/>
    <w:rsid w:val="6CCB1235"/>
    <w:rsid w:val="6D1B5815"/>
    <w:rsid w:val="6E66587A"/>
    <w:rsid w:val="6EC047D3"/>
    <w:rsid w:val="6F477B6E"/>
    <w:rsid w:val="6FF3138F"/>
    <w:rsid w:val="70026DB3"/>
    <w:rsid w:val="705667DA"/>
    <w:rsid w:val="707F2C23"/>
    <w:rsid w:val="710E21F8"/>
    <w:rsid w:val="71155335"/>
    <w:rsid w:val="715D19E6"/>
    <w:rsid w:val="71FD64F5"/>
    <w:rsid w:val="72111FA0"/>
    <w:rsid w:val="72227E3D"/>
    <w:rsid w:val="727F7ADB"/>
    <w:rsid w:val="72F378F8"/>
    <w:rsid w:val="7318735E"/>
    <w:rsid w:val="73BB4A2E"/>
    <w:rsid w:val="73E57B72"/>
    <w:rsid w:val="749018A2"/>
    <w:rsid w:val="74DC4BDA"/>
    <w:rsid w:val="75857BF6"/>
    <w:rsid w:val="758962F1"/>
    <w:rsid w:val="76E82883"/>
    <w:rsid w:val="77505319"/>
    <w:rsid w:val="777F79AC"/>
    <w:rsid w:val="77F2017E"/>
    <w:rsid w:val="789631FF"/>
    <w:rsid w:val="789D458E"/>
    <w:rsid w:val="78C064CE"/>
    <w:rsid w:val="78E71CAD"/>
    <w:rsid w:val="793D7B1F"/>
    <w:rsid w:val="79E1494E"/>
    <w:rsid w:val="7A0D74F1"/>
    <w:rsid w:val="7A0F3269"/>
    <w:rsid w:val="7A911ED0"/>
    <w:rsid w:val="7B1448AF"/>
    <w:rsid w:val="7B5C443C"/>
    <w:rsid w:val="7B86755B"/>
    <w:rsid w:val="7BC13C07"/>
    <w:rsid w:val="7BE349AD"/>
    <w:rsid w:val="7C1A0832"/>
    <w:rsid w:val="7C296138"/>
    <w:rsid w:val="7C2C65F7"/>
    <w:rsid w:val="7D1E37C3"/>
    <w:rsid w:val="7D496A92"/>
    <w:rsid w:val="7D8E0949"/>
    <w:rsid w:val="7E123328"/>
    <w:rsid w:val="7E341CDF"/>
    <w:rsid w:val="7E9957F7"/>
    <w:rsid w:val="7EE01BBA"/>
    <w:rsid w:val="7EE06F82"/>
    <w:rsid w:val="7EED78F1"/>
    <w:rsid w:val="7F0709B3"/>
    <w:rsid w:val="7F150226"/>
    <w:rsid w:val="7F2D5F40"/>
    <w:rsid w:val="7F594F87"/>
    <w:rsid w:val="7F6A2CF0"/>
    <w:rsid w:val="7F7052A1"/>
    <w:rsid w:val="7FB1091F"/>
    <w:rsid w:val="7FC70142"/>
    <w:rsid w:val="7FFB2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124" w:hanging="304"/>
      <w:outlineLvl w:val="0"/>
    </w:pPr>
    <w:rPr>
      <w:rFonts w:ascii="Microsoft JhengHei" w:hAnsi="Microsoft JhengHei" w:eastAsia="Microsoft JhengHei" w:cs="Microsoft JhengHei"/>
      <w:b/>
      <w:bCs/>
      <w:sz w:val="30"/>
      <w:szCs w:val="3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sz w:val="30"/>
      <w:szCs w:val="30"/>
    </w:rPr>
  </w:style>
  <w:style w:type="paragraph" w:styleId="4">
    <w:name w:val="Plain Text"/>
    <w:basedOn w:val="1"/>
    <w:link w:val="15"/>
    <w:qFormat/>
    <w:uiPriority w:val="99"/>
    <w:pPr>
      <w:autoSpaceDE/>
      <w:autoSpaceDN/>
      <w:spacing w:line="0" w:lineRule="atLeast"/>
      <w:jc w:val="both"/>
    </w:pPr>
    <w:rPr>
      <w:rFonts w:hAnsi="Courier New" w:asciiTheme="minorHAnsi" w:eastAsiaTheme="minorEastAsia" w:cstheme="minorBidi"/>
      <w:kern w:val="2"/>
      <w:sz w:val="24"/>
      <w:szCs w:val="20"/>
      <w:lang w:val="en-US" w:bidi="ar-SA"/>
    </w:r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240"/>
      <w:ind w:left="216" w:hanging="304"/>
    </w:pPr>
  </w:style>
  <w:style w:type="paragraph" w:customStyle="1" w:styleId="12">
    <w:name w:val="Table Paragraph"/>
    <w:basedOn w:val="1"/>
    <w:qFormat/>
    <w:uiPriority w:val="1"/>
  </w:style>
  <w:style w:type="character" w:customStyle="1" w:styleId="13">
    <w:name w:val="font01"/>
    <w:basedOn w:val="9"/>
    <w:qFormat/>
    <w:uiPriority w:val="0"/>
    <w:rPr>
      <w:rFonts w:hint="default" w:ascii="Times New Roman" w:hAnsi="Times New Roman" w:cs="Times New Roman"/>
      <w:color w:val="000000"/>
      <w:sz w:val="24"/>
      <w:szCs w:val="24"/>
      <w:u w:val="none"/>
    </w:rPr>
  </w:style>
  <w:style w:type="character" w:customStyle="1" w:styleId="14">
    <w:name w:val="font11"/>
    <w:basedOn w:val="9"/>
    <w:qFormat/>
    <w:uiPriority w:val="0"/>
    <w:rPr>
      <w:rFonts w:hint="eastAsia" w:ascii="宋体" w:hAnsi="宋体" w:eastAsia="宋体" w:cs="宋体"/>
      <w:color w:val="000000"/>
      <w:sz w:val="24"/>
      <w:szCs w:val="24"/>
      <w:u w:val="none"/>
    </w:rPr>
  </w:style>
  <w:style w:type="character" w:customStyle="1" w:styleId="15">
    <w:name w:val="纯文本 字符"/>
    <w:basedOn w:val="9"/>
    <w:link w:val="4"/>
    <w:qFormat/>
    <w:uiPriority w:val="99"/>
    <w:rPr>
      <w:rFonts w:hAnsi="Courier New" w:asciiTheme="minorHAnsi" w:eastAsiaTheme="minorEastAsia" w:cstheme="minorBidi"/>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10842</Words>
  <Characters>11156</Characters>
  <Lines>88</Lines>
  <Paragraphs>24</Paragraphs>
  <TotalTime>15</TotalTime>
  <ScaleCrop>false</ScaleCrop>
  <LinksUpToDate>false</LinksUpToDate>
  <CharactersWithSpaces>11369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2022-03-21T04:19:00Z</dcterms:created>
  <dc:creator>Administrator</dc:creator>
  <cp:lastModifiedBy>Greta</cp:lastModifiedBy>
  <cp:lastPrinted>2021-07-19T14:32:00Z</cp:lastPrinted>
  <dcterms:modified xsi:type="dcterms:W3CDTF">2022-05-18T08:38:07Z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Microsoft® Word 2016</vt:lpwstr>
  </property>
  <property fmtid="{D5CDD505-2E9C-101B-9397-08002B2CF9AE}" pid="4" name="LastSaved">
    <vt:filetime>2021-04-11T00:00:00Z</vt:filetime>
  </property>
  <property fmtid="{D5CDD505-2E9C-101B-9397-08002B2CF9AE}" pid="5" name="KSOProductBuildVer">
    <vt:lpwstr>2052-11.1.0.11744</vt:lpwstr>
  </property>
  <property fmtid="{D5CDD505-2E9C-101B-9397-08002B2CF9AE}" pid="6" name="ICV">
    <vt:lpwstr>A8C392DF672349D598CA1832768EF833</vt:lpwstr>
  </property>
</Properties>
</file>